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napToGrid w:val="0"/>
        <w:spacing w:line="560" w:lineRule="exact"/>
        <w:jc w:val="center"/>
        <w:rPr>
          <w:rFonts w:hint="eastAsia" w:ascii="方正小标宋简体" w:hAnsi="华文中宋" w:eastAsia="方正小标宋简体" w:cs="方正小标宋简体"/>
          <w:color w:val="auto"/>
          <w:sz w:val="44"/>
          <w:szCs w:val="44"/>
        </w:rPr>
      </w:pPr>
    </w:p>
    <w:p>
      <w:pPr>
        <w:snapToGrid w:val="0"/>
        <w:spacing w:line="560" w:lineRule="exact"/>
        <w:jc w:val="center"/>
        <w:rPr>
          <w:rFonts w:ascii="方正小标宋简体" w:hAnsi="华文中宋" w:eastAsia="方正小标宋简体"/>
          <w:color w:val="auto"/>
          <w:sz w:val="44"/>
          <w:szCs w:val="44"/>
        </w:rPr>
      </w:pPr>
      <w:r>
        <w:rPr>
          <w:rFonts w:hint="eastAsia" w:ascii="方正小标宋简体" w:hAnsi="华文中宋" w:eastAsia="方正小标宋简体" w:cs="方正小标宋简体"/>
          <w:color w:val="auto"/>
          <w:sz w:val="44"/>
          <w:szCs w:val="44"/>
        </w:rPr>
        <w:t>北京市社会科学基金项目资金管理办法</w:t>
      </w:r>
    </w:p>
    <w:p>
      <w:pPr>
        <w:spacing w:line="560" w:lineRule="exact"/>
        <w:jc w:val="center"/>
        <w:rPr>
          <w:rFonts w:ascii="仿宋_GB2312" w:eastAsia="仿宋_GB2312"/>
          <w:color w:val="auto"/>
          <w:sz w:val="32"/>
          <w:szCs w:val="32"/>
        </w:rPr>
      </w:pPr>
    </w:p>
    <w:p>
      <w:pPr>
        <w:numPr>
          <w:ilvl w:val="0"/>
          <w:numId w:val="1"/>
        </w:numPr>
        <w:spacing w:line="560" w:lineRule="exact"/>
        <w:jc w:val="center"/>
        <w:outlineLvl w:val="0"/>
        <w:rPr>
          <w:rFonts w:hint="eastAsia" w:ascii="黑体" w:eastAsia="黑体" w:cs="黑体"/>
          <w:color w:val="auto"/>
          <w:sz w:val="32"/>
          <w:szCs w:val="32"/>
        </w:rPr>
      </w:pPr>
      <w:r>
        <w:rPr>
          <w:rFonts w:hint="eastAsia" w:ascii="黑体" w:eastAsia="黑体" w:cs="黑体"/>
          <w:color w:val="auto"/>
          <w:sz w:val="32"/>
          <w:szCs w:val="32"/>
          <w:lang w:val="en-US" w:eastAsia="zh-CN"/>
        </w:rPr>
        <w:t xml:space="preserve"> </w:t>
      </w:r>
      <w:r>
        <w:rPr>
          <w:rFonts w:hint="eastAsia" w:ascii="黑体" w:eastAsia="黑体" w:cs="黑体"/>
          <w:color w:val="auto"/>
          <w:sz w:val="32"/>
          <w:szCs w:val="32"/>
        </w:rPr>
        <w:t>总</w:t>
      </w:r>
      <w:r>
        <w:rPr>
          <w:rFonts w:ascii="黑体" w:eastAsia="黑体" w:cs="黑体"/>
          <w:color w:val="auto"/>
          <w:sz w:val="32"/>
          <w:szCs w:val="32"/>
        </w:rPr>
        <w:t xml:space="preserve">  </w:t>
      </w:r>
      <w:r>
        <w:rPr>
          <w:rFonts w:hint="eastAsia" w:ascii="黑体" w:eastAsia="黑体" w:cs="黑体"/>
          <w:color w:val="auto"/>
          <w:sz w:val="32"/>
          <w:szCs w:val="32"/>
        </w:rPr>
        <w:t>则</w:t>
      </w:r>
    </w:p>
    <w:p>
      <w:pPr>
        <w:numPr>
          <w:numId w:val="0"/>
        </w:numPr>
        <w:spacing w:line="560" w:lineRule="exact"/>
        <w:jc w:val="both"/>
        <w:outlineLvl w:val="0"/>
        <w:rPr>
          <w:rFonts w:hint="eastAsia" w:ascii="黑体" w:eastAsia="黑体" w:cs="黑体"/>
          <w:color w:val="auto"/>
          <w:sz w:val="32"/>
          <w:szCs w:val="32"/>
        </w:rPr>
      </w:pP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第一条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为规范和加强北京市社会科学基金项目</w:t>
      </w:r>
      <w:r>
        <w:rPr>
          <w:rFonts w:ascii="仿宋_GB2312" w:eastAsia="仿宋_GB2312" w:cs="仿宋_GB2312"/>
          <w:color w:val="auto"/>
          <w:sz w:val="32"/>
          <w:szCs w:val="32"/>
        </w:rPr>
        <w:t>(</w:t>
      </w:r>
      <w:r>
        <w:rPr>
          <w:rFonts w:hint="eastAsia" w:ascii="仿宋_GB2312" w:eastAsia="仿宋_GB2312" w:cs="仿宋_GB2312"/>
          <w:color w:val="auto"/>
          <w:sz w:val="32"/>
          <w:szCs w:val="32"/>
        </w:rPr>
        <w:t>简称“北京社科基金项目”</w:t>
      </w:r>
      <w:r>
        <w:rPr>
          <w:rFonts w:ascii="仿宋_GB2312" w:eastAsia="仿宋_GB2312" w:cs="仿宋_GB2312"/>
          <w:color w:val="auto"/>
          <w:sz w:val="32"/>
          <w:szCs w:val="32"/>
        </w:rPr>
        <w:t>)</w:t>
      </w:r>
      <w:r>
        <w:rPr>
          <w:rFonts w:hint="eastAsia" w:ascii="仿宋_GB2312" w:eastAsia="仿宋_GB2312" w:cs="仿宋_GB2312"/>
          <w:color w:val="auto"/>
          <w:sz w:val="32"/>
          <w:szCs w:val="32"/>
        </w:rPr>
        <w:t>资金的管理，提高资金管理水平和使用效益，根据《北京市进一步完善财政科研项目和经费管理的若干政策措施》（京办发〔201</w:t>
      </w:r>
      <w:r>
        <w:rPr>
          <w:rFonts w:hint="eastAsia" w:ascii="仿宋_GB2312" w:eastAsia="仿宋_GB2312" w:cs="仿宋_GB2312"/>
          <w:color w:val="auto"/>
          <w:sz w:val="32"/>
          <w:szCs w:val="32"/>
          <w:lang w:val="en-US" w:eastAsia="zh-CN"/>
        </w:rPr>
        <w:t>6</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36</w:t>
      </w:r>
      <w:r>
        <w:rPr>
          <w:rFonts w:hint="eastAsia" w:ascii="仿宋_GB2312" w:eastAsia="仿宋_GB2312" w:cs="仿宋_GB2312"/>
          <w:color w:val="auto"/>
          <w:sz w:val="32"/>
          <w:szCs w:val="32"/>
        </w:rPr>
        <w:t>号）、《北京市财政局关于修订〈北京市市级项目支出预算管理办法〉的通知》（京财预〔</w:t>
      </w:r>
      <w:r>
        <w:rPr>
          <w:rFonts w:ascii="仿宋_GB2312" w:eastAsia="仿宋_GB2312" w:cs="仿宋_GB2312"/>
          <w:color w:val="auto"/>
          <w:sz w:val="32"/>
          <w:szCs w:val="32"/>
        </w:rPr>
        <w:t>2012</w:t>
      </w:r>
      <w:r>
        <w:rPr>
          <w:rFonts w:hint="eastAsia" w:ascii="仿宋_GB2312" w:eastAsia="仿宋_GB2312" w:cs="仿宋_GB2312"/>
          <w:color w:val="auto"/>
          <w:sz w:val="32"/>
          <w:szCs w:val="32"/>
        </w:rPr>
        <w:t>〕</w:t>
      </w:r>
      <w:r>
        <w:rPr>
          <w:rFonts w:ascii="仿宋_GB2312" w:eastAsia="仿宋_GB2312" w:cs="仿宋_GB2312"/>
          <w:color w:val="auto"/>
          <w:sz w:val="32"/>
          <w:szCs w:val="32"/>
        </w:rPr>
        <w:t>22</w:t>
      </w:r>
      <w:r>
        <w:rPr>
          <w:rFonts w:hint="eastAsia" w:ascii="仿宋_GB2312" w:eastAsia="仿宋_GB2312" w:cs="仿宋_GB2312"/>
          <w:color w:val="auto"/>
          <w:sz w:val="32"/>
          <w:szCs w:val="32"/>
          <w:lang w:val="en-US" w:eastAsia="zh-CN"/>
        </w:rPr>
        <w:t>78</w:t>
      </w:r>
      <w:r>
        <w:rPr>
          <w:rFonts w:hint="eastAsia" w:ascii="仿宋_GB2312" w:eastAsia="仿宋_GB2312" w:cs="仿宋_GB2312"/>
          <w:color w:val="auto"/>
          <w:sz w:val="32"/>
          <w:szCs w:val="32"/>
        </w:rPr>
        <w:t>号），参照</w:t>
      </w:r>
      <w:r>
        <w:rPr>
          <w:rFonts w:hint="default" w:ascii="仿宋_GB2312" w:eastAsia="仿宋_GB2312" w:cs="仿宋_GB2312"/>
          <w:color w:val="auto"/>
          <w:sz w:val="32"/>
          <w:szCs w:val="32"/>
          <w:lang w:eastAsia="zh-CN"/>
        </w:rPr>
        <w:t>《关于进一步完善国家社会科学基金项目管理的有关规定》（社科工作领字</w:t>
      </w:r>
      <w:r>
        <w:rPr>
          <w:rFonts w:hint="eastAsia" w:ascii="仿宋_GB2312" w:eastAsia="仿宋_GB2312" w:cs="仿宋_GB2312"/>
          <w:color w:val="auto"/>
          <w:sz w:val="32"/>
          <w:szCs w:val="32"/>
        </w:rPr>
        <w:t>〔</w:t>
      </w:r>
      <w:r>
        <w:rPr>
          <w:rFonts w:ascii="仿宋_GB2312" w:eastAsia="仿宋_GB2312" w:cs="仿宋_GB2312"/>
          <w:color w:val="auto"/>
          <w:sz w:val="32"/>
          <w:szCs w:val="32"/>
        </w:rPr>
        <w:t>201</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val="en-US" w:eastAsia="zh-CN"/>
        </w:rPr>
        <w:t>1</w:t>
      </w:r>
      <w:r>
        <w:rPr>
          <w:rFonts w:hint="default" w:ascii="仿宋_GB2312" w:eastAsia="仿宋_GB2312" w:cs="仿宋_GB2312"/>
          <w:color w:val="auto"/>
          <w:sz w:val="32"/>
          <w:szCs w:val="32"/>
        </w:rPr>
        <w:t>号）</w:t>
      </w:r>
      <w:r>
        <w:rPr>
          <w:rFonts w:hint="eastAsia" w:ascii="仿宋_GB2312" w:eastAsia="仿宋_GB2312" w:cs="仿宋_GB2312"/>
          <w:color w:val="auto"/>
          <w:sz w:val="32"/>
          <w:szCs w:val="32"/>
          <w:lang w:val="en-US" w:eastAsia="zh-CN"/>
        </w:rPr>
        <w:t>,结合《北京市社会科学基金项目管理办法》</w:t>
      </w:r>
      <w:r>
        <w:rPr>
          <w:rFonts w:hint="eastAsia" w:ascii="仿宋_GB2312" w:eastAsia="仿宋_GB2312" w:cs="仿宋_GB2312"/>
          <w:color w:val="auto"/>
          <w:sz w:val="32"/>
          <w:szCs w:val="32"/>
        </w:rPr>
        <w:t>有关规定，制</w:t>
      </w:r>
      <w:r>
        <w:rPr>
          <w:rFonts w:hint="eastAsia" w:ascii="仿宋_GB2312" w:eastAsia="仿宋_GB2312" w:cs="仿宋_GB2312"/>
          <w:color w:val="auto"/>
          <w:sz w:val="32"/>
          <w:szCs w:val="32"/>
          <w:lang w:eastAsia="zh-CN"/>
        </w:rPr>
        <w:t>定</w:t>
      </w:r>
      <w:r>
        <w:rPr>
          <w:rFonts w:hint="eastAsia" w:ascii="仿宋_GB2312" w:eastAsia="仿宋_GB2312" w:cs="仿宋_GB2312"/>
          <w:color w:val="auto"/>
          <w:sz w:val="32"/>
          <w:szCs w:val="32"/>
        </w:rPr>
        <w:t>本办法。</w:t>
      </w:r>
    </w:p>
    <w:p>
      <w:pPr>
        <w:spacing w:line="560" w:lineRule="exact"/>
        <w:ind w:firstLine="630" w:firstLineChars="196"/>
        <w:rPr>
          <w:rFonts w:ascii="仿宋_GB2312" w:hAnsi="仿宋" w:eastAsia="仿宋_GB2312" w:cs="仿宋_GB2312"/>
          <w:color w:val="auto"/>
          <w:sz w:val="32"/>
          <w:szCs w:val="32"/>
        </w:rPr>
      </w:pPr>
      <w:r>
        <w:rPr>
          <w:rFonts w:hint="eastAsia" w:ascii="仿宋_GB2312" w:eastAsia="仿宋_GB2312" w:cs="仿宋_GB2312"/>
          <w:b/>
          <w:bCs/>
          <w:color w:val="auto"/>
          <w:sz w:val="32"/>
          <w:szCs w:val="32"/>
        </w:rPr>
        <w:t xml:space="preserve">第二条  </w:t>
      </w:r>
      <w:r>
        <w:rPr>
          <w:rFonts w:hint="eastAsia" w:ascii="仿宋_GB2312" w:hAnsi="仿宋" w:eastAsia="仿宋_GB2312" w:cs="仿宋_GB2312"/>
          <w:color w:val="auto"/>
          <w:sz w:val="32"/>
          <w:szCs w:val="32"/>
        </w:rPr>
        <w:t>北京社科基金项目资金来源于市级财政拨款，用于资助</w:t>
      </w:r>
      <w:r>
        <w:rPr>
          <w:rFonts w:hint="eastAsia" w:ascii="仿宋_GB2312" w:hAnsi="仿宋" w:eastAsia="仿宋_GB2312" w:cs="仿宋_GB2312"/>
          <w:color w:val="auto"/>
          <w:sz w:val="32"/>
          <w:szCs w:val="32"/>
          <w:lang w:eastAsia="zh-CN"/>
        </w:rPr>
        <w:t>北京地区</w:t>
      </w:r>
      <w:r>
        <w:rPr>
          <w:rFonts w:hint="eastAsia" w:ascii="仿宋_GB2312" w:hAnsi="仿宋" w:eastAsia="仿宋_GB2312" w:cs="仿宋_GB2312"/>
          <w:color w:val="auto"/>
          <w:sz w:val="32"/>
          <w:szCs w:val="32"/>
        </w:rPr>
        <w:t>哲学社会科学项目研究，促进哲学社会科学学科发展、人才培养和队伍建设。北京社科基金项目分为重大项目、重点项目、一般项目和青年项目。重大项目资助金额不超过30万元，重点项目资助金额不超过15万元，一般项目和青年项目资助金额不超过8万元。</w:t>
      </w:r>
    </w:p>
    <w:p>
      <w:pPr>
        <w:spacing w:line="560" w:lineRule="exact"/>
        <w:ind w:left="643"/>
        <w:rPr>
          <w:rFonts w:ascii="仿宋_GB2312" w:eastAsia="仿宋_GB2312"/>
          <w:color w:val="auto"/>
          <w:sz w:val="32"/>
          <w:szCs w:val="32"/>
        </w:rPr>
      </w:pPr>
      <w:r>
        <w:rPr>
          <w:rFonts w:hint="eastAsia" w:ascii="仿宋_GB2312" w:eastAsia="仿宋_GB2312" w:cs="仿宋_GB2312"/>
          <w:b/>
          <w:bCs/>
          <w:color w:val="auto"/>
          <w:sz w:val="32"/>
          <w:szCs w:val="32"/>
        </w:rPr>
        <w:t>第三条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北京社科基金项目资金使用和管理原则：</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（一）以人为本，遵循规律。坚持以出成果、出人才为目标，更加注重对哲学社会科学研究人才的培养和激励。遵循哲学社会科学领域研究规律，赋予项目研究人员开展项目研究更大的自主权。</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（二）</w:t>
      </w:r>
      <w:r>
        <w:rPr>
          <w:rFonts w:hint="eastAsia" w:ascii="仿宋_GB2312" w:eastAsia="仿宋_GB2312" w:cs="仿宋_GB2312"/>
          <w:color w:val="auto"/>
          <w:sz w:val="32"/>
          <w:szCs w:val="32"/>
          <w:lang w:eastAsia="zh-CN"/>
        </w:rPr>
        <w:t>统筹</w:t>
      </w:r>
      <w:r>
        <w:rPr>
          <w:rFonts w:hint="eastAsia" w:ascii="仿宋_GB2312" w:eastAsia="仿宋_GB2312" w:cs="仿宋_GB2312"/>
          <w:color w:val="auto"/>
          <w:sz w:val="32"/>
          <w:szCs w:val="32"/>
        </w:rPr>
        <w:t>安排</w:t>
      </w:r>
      <w:r>
        <w:rPr>
          <w:rFonts w:hint="eastAsia" w:ascii="仿宋_GB2312" w:eastAsia="仿宋_GB2312" w:cs="仿宋_GB2312"/>
          <w:color w:val="auto"/>
          <w:sz w:val="32"/>
          <w:szCs w:val="32"/>
          <w:lang w:eastAsia="zh-CN"/>
        </w:rPr>
        <w:t>，科学</w:t>
      </w:r>
      <w:r>
        <w:rPr>
          <w:rFonts w:hint="eastAsia" w:ascii="仿宋_GB2312" w:eastAsia="仿宋_GB2312" w:cs="仿宋_GB2312"/>
          <w:color w:val="auto"/>
          <w:sz w:val="32"/>
          <w:szCs w:val="32"/>
        </w:rPr>
        <w:t>合理。严格按照项目研究的目标和任务，科学合理地编制和安排项目</w:t>
      </w:r>
      <w:r>
        <w:rPr>
          <w:rFonts w:hint="eastAsia" w:ascii="仿宋_GB2312" w:eastAsia="仿宋_GB2312" w:cs="仿宋_GB2312"/>
          <w:color w:val="auto"/>
          <w:sz w:val="32"/>
          <w:szCs w:val="32"/>
          <w:lang w:eastAsia="zh-CN"/>
        </w:rPr>
        <w:t>资金</w:t>
      </w:r>
      <w:r>
        <w:rPr>
          <w:rFonts w:hint="eastAsia" w:ascii="仿宋_GB2312" w:eastAsia="仿宋_GB2312" w:cs="仿宋_GB2312"/>
          <w:color w:val="auto"/>
          <w:sz w:val="32"/>
          <w:szCs w:val="32"/>
        </w:rPr>
        <w:t>预算，杜绝随意性。加强相关科研资源的统筹协调和有效整合，避免重复浪费。</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（三）依法规范，安全高效。项目资金</w:t>
      </w:r>
      <w:r>
        <w:rPr>
          <w:rFonts w:hint="eastAsia" w:ascii="仿宋_GB2312" w:eastAsia="仿宋_GB2312" w:cs="仿宋_GB2312"/>
          <w:color w:val="auto"/>
          <w:sz w:val="32"/>
          <w:szCs w:val="32"/>
          <w:lang w:eastAsia="zh-CN"/>
        </w:rPr>
        <w:t>须</w:t>
      </w:r>
      <w:r>
        <w:rPr>
          <w:rFonts w:hint="eastAsia" w:ascii="仿宋_GB2312" w:eastAsia="仿宋_GB2312" w:cs="仿宋_GB2312"/>
          <w:color w:val="auto"/>
          <w:sz w:val="32"/>
          <w:szCs w:val="32"/>
        </w:rPr>
        <w:t>纳入单位财务统一管理，单独核算。项目</w:t>
      </w:r>
      <w:r>
        <w:rPr>
          <w:rFonts w:hint="eastAsia" w:ascii="仿宋_GB2312" w:eastAsia="仿宋_GB2312" w:cs="仿宋_GB2312"/>
          <w:color w:val="auto"/>
          <w:sz w:val="32"/>
          <w:szCs w:val="32"/>
          <w:lang w:eastAsia="zh-CN"/>
        </w:rPr>
        <w:t>资金</w:t>
      </w:r>
      <w:r>
        <w:rPr>
          <w:rFonts w:hint="eastAsia" w:ascii="仿宋_GB2312" w:eastAsia="仿宋_GB2312" w:cs="仿宋_GB2312"/>
          <w:color w:val="auto"/>
          <w:sz w:val="32"/>
          <w:szCs w:val="32"/>
        </w:rPr>
        <w:t>管理各方权责要明确，协力加强对项目资金的管理，确保专款专用，并建立追踪问效机制。</w:t>
      </w:r>
    </w:p>
    <w:p>
      <w:pPr>
        <w:spacing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color w:val="auto"/>
          <w:sz w:val="32"/>
          <w:szCs w:val="32"/>
        </w:rPr>
        <w:t>第四条</w:t>
      </w:r>
      <w:r>
        <w:rPr>
          <w:rFonts w:ascii="仿宋_GB2312" w:eastAsia="仿宋_GB2312" w:cs="仿宋_GB2312"/>
          <w:b/>
          <w:color w:val="auto"/>
          <w:sz w:val="32"/>
          <w:szCs w:val="32"/>
        </w:rPr>
        <w:t xml:space="preserve"> </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北京市</w:t>
      </w:r>
      <w:r>
        <w:rPr>
          <w:rFonts w:hint="eastAsia" w:ascii="仿宋_GB2312" w:eastAsia="仿宋_GB2312" w:cs="仿宋_GB2312"/>
          <w:color w:val="auto"/>
          <w:sz w:val="32"/>
          <w:szCs w:val="32"/>
          <w:lang w:eastAsia="zh-CN"/>
        </w:rPr>
        <w:t>社会科学界联合会、北京市</w:t>
      </w:r>
      <w:r>
        <w:rPr>
          <w:rFonts w:hint="eastAsia" w:ascii="仿宋_GB2312" w:eastAsia="仿宋_GB2312" w:cs="仿宋_GB2312"/>
          <w:color w:val="auto"/>
          <w:sz w:val="32"/>
          <w:szCs w:val="32"/>
        </w:rPr>
        <w:t>哲学社会科学规划办公室（以下简称</w:t>
      </w:r>
      <w:r>
        <w:rPr>
          <w:rFonts w:hint="eastAsia" w:ascii="仿宋_GB2312" w:eastAsia="仿宋_GB2312" w:cs="仿宋_GB2312"/>
          <w:color w:val="auto"/>
          <w:sz w:val="32"/>
          <w:szCs w:val="32"/>
          <w:lang w:eastAsia="zh-CN"/>
        </w:rPr>
        <w:t>市社科联、</w:t>
      </w:r>
      <w:r>
        <w:rPr>
          <w:rFonts w:hint="eastAsia" w:ascii="仿宋_GB2312" w:eastAsia="仿宋_GB2312" w:cs="仿宋_GB2312"/>
          <w:color w:val="auto"/>
          <w:sz w:val="32"/>
          <w:szCs w:val="32"/>
        </w:rPr>
        <w:t>市社科规划办）负责编制并向社会公开发布《北京市社会科学基金项目课题指南》，</w:t>
      </w:r>
      <w:r>
        <w:rPr>
          <w:rFonts w:hint="eastAsia" w:ascii="仿宋_GB2312" w:eastAsia="仿宋_GB2312" w:cs="仿宋_GB2312"/>
          <w:color w:val="auto"/>
          <w:sz w:val="32"/>
          <w:szCs w:val="32"/>
          <w:lang w:eastAsia="zh-CN"/>
        </w:rPr>
        <w:t>组织北京社科基金项目评审立项，审核批准项目预算</w:t>
      </w:r>
      <w:r>
        <w:rPr>
          <w:rFonts w:hint="eastAsia" w:ascii="仿宋_GB2312" w:eastAsia="仿宋_GB2312" w:cs="仿宋_GB2312"/>
          <w:color w:val="auto"/>
          <w:sz w:val="32"/>
          <w:szCs w:val="32"/>
        </w:rPr>
        <w:t>，对项目承担单位的项目资助工作进行指导、管理、监督。</w:t>
      </w:r>
      <w:r>
        <w:rPr>
          <w:rFonts w:ascii="仿宋_GB2312" w:eastAsia="仿宋_GB2312" w:cs="仿宋_GB2312"/>
          <w:color w:val="auto"/>
          <w:sz w:val="32"/>
          <w:szCs w:val="32"/>
        </w:rPr>
        <w:t xml:space="preserve"> </w:t>
      </w:r>
    </w:p>
    <w:p>
      <w:pPr>
        <w:spacing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color w:val="auto"/>
          <w:sz w:val="32"/>
          <w:szCs w:val="32"/>
        </w:rPr>
        <w:t>第五条</w:t>
      </w:r>
      <w:r>
        <w:rPr>
          <w:rFonts w:ascii="仿宋_GB2312" w:eastAsia="仿宋_GB2312" w:cs="仿宋_GB2312"/>
          <w:b/>
          <w:color w:val="auto"/>
          <w:sz w:val="32"/>
          <w:szCs w:val="32"/>
        </w:rPr>
        <w:t xml:space="preserve">  </w:t>
      </w:r>
      <w:r>
        <w:rPr>
          <w:rFonts w:hint="eastAsia" w:ascii="仿宋_GB2312" w:eastAsia="仿宋_GB2312" w:cs="仿宋_GB2312"/>
          <w:color w:val="auto"/>
          <w:sz w:val="32"/>
          <w:szCs w:val="32"/>
        </w:rPr>
        <w:t>项目承担单位是项目资金管理的责任主体，负责项目资金的日常管理和监督。</w:t>
      </w:r>
    </w:p>
    <w:p>
      <w:pPr>
        <w:spacing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color w:val="auto"/>
          <w:sz w:val="32"/>
          <w:szCs w:val="32"/>
        </w:rPr>
        <w:t>第六条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项目负责人是项目资金使用的直接责任人，对资金使用的合规性、合理性、真实性和相关性承担法律责任。</w:t>
      </w:r>
    </w:p>
    <w:p>
      <w:pPr>
        <w:spacing w:line="560" w:lineRule="exact"/>
        <w:ind w:firstLine="640" w:firstLineChars="200"/>
        <w:rPr>
          <w:color w:val="auto"/>
          <w:sz w:val="32"/>
          <w:szCs w:val="32"/>
        </w:rPr>
      </w:pPr>
    </w:p>
    <w:p>
      <w:pPr>
        <w:numPr>
          <w:ilvl w:val="0"/>
          <w:numId w:val="2"/>
        </w:numPr>
        <w:spacing w:line="560" w:lineRule="exact"/>
        <w:jc w:val="center"/>
        <w:outlineLvl w:val="0"/>
        <w:rPr>
          <w:rFonts w:hint="eastAsia" w:ascii="黑体" w:eastAsia="黑体" w:cs="黑体"/>
          <w:color w:val="auto"/>
          <w:sz w:val="32"/>
          <w:szCs w:val="32"/>
        </w:rPr>
      </w:pPr>
      <w:r>
        <w:rPr>
          <w:rFonts w:ascii="黑体" w:eastAsia="黑体" w:cs="黑体"/>
          <w:color w:val="auto"/>
          <w:sz w:val="32"/>
          <w:szCs w:val="32"/>
        </w:rPr>
        <w:t xml:space="preserve"> </w:t>
      </w:r>
      <w:r>
        <w:rPr>
          <w:rFonts w:hint="eastAsia" w:ascii="黑体" w:eastAsia="黑体" w:cs="黑体"/>
          <w:color w:val="auto"/>
          <w:sz w:val="32"/>
          <w:szCs w:val="32"/>
          <w:lang w:eastAsia="zh-CN"/>
        </w:rPr>
        <w:t>项目资金开</w:t>
      </w:r>
      <w:r>
        <w:rPr>
          <w:rFonts w:hint="eastAsia" w:ascii="黑体" w:eastAsia="黑体" w:cs="黑体"/>
          <w:color w:val="auto"/>
          <w:sz w:val="32"/>
          <w:szCs w:val="32"/>
        </w:rPr>
        <w:t>支范围</w:t>
      </w:r>
    </w:p>
    <w:p>
      <w:pPr>
        <w:numPr>
          <w:numId w:val="0"/>
        </w:numPr>
        <w:spacing w:line="560" w:lineRule="exact"/>
        <w:jc w:val="both"/>
        <w:outlineLvl w:val="0"/>
        <w:rPr>
          <w:rFonts w:hint="eastAsia" w:ascii="黑体" w:eastAsia="黑体" w:cs="黑体"/>
          <w:color w:val="auto"/>
          <w:sz w:val="32"/>
          <w:szCs w:val="32"/>
        </w:rPr>
      </w:pP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第七条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项目资金支出是指在项目组织实施过程中与</w:t>
      </w:r>
      <w:r>
        <w:rPr>
          <w:rFonts w:hint="eastAsia" w:ascii="仿宋_GB2312" w:eastAsia="仿宋_GB2312" w:cs="仿宋_GB2312"/>
          <w:color w:val="auto"/>
          <w:sz w:val="32"/>
          <w:szCs w:val="32"/>
          <w:lang w:eastAsia="zh-CN"/>
        </w:rPr>
        <w:t>科研</w:t>
      </w:r>
      <w:r>
        <w:rPr>
          <w:rFonts w:hint="eastAsia" w:ascii="仿宋_GB2312" w:eastAsia="仿宋_GB2312" w:cs="仿宋_GB2312"/>
          <w:color w:val="auto"/>
          <w:sz w:val="32"/>
          <w:szCs w:val="32"/>
        </w:rPr>
        <w:t>活动相关的、</w:t>
      </w:r>
      <w:r>
        <w:rPr>
          <w:rFonts w:hint="eastAsia" w:ascii="仿宋_GB2312" w:eastAsia="仿宋_GB2312" w:cs="仿宋_GB2312"/>
          <w:color w:val="auto"/>
          <w:sz w:val="32"/>
          <w:szCs w:val="32"/>
          <w:lang w:eastAsia="zh-CN"/>
        </w:rPr>
        <w:t>使用</w:t>
      </w:r>
      <w:r>
        <w:rPr>
          <w:rFonts w:hint="eastAsia" w:ascii="仿宋_GB2312" w:eastAsia="仿宋_GB2312" w:cs="仿宋_GB2312"/>
          <w:color w:val="auto"/>
          <w:sz w:val="32"/>
          <w:szCs w:val="32"/>
        </w:rPr>
        <w:t>项目资金支付的各项费用支出。项目资金分为直接费用和间接费用。</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第八条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直接费用是指在项目研究过程中发生的与之直接相关的费用，具体包括：</w:t>
      </w:r>
    </w:p>
    <w:p>
      <w:pPr>
        <w:spacing w:line="560" w:lineRule="exact"/>
        <w:ind w:firstLine="640" w:firstLineChars="200"/>
        <w:jc w:val="left"/>
        <w:rPr>
          <w:rFonts w:ascii="仿宋_GB2312" w:eastAsia="仿宋_GB2312"/>
          <w:color w:val="auto"/>
          <w:sz w:val="32"/>
          <w:szCs w:val="32"/>
        </w:rPr>
      </w:pPr>
      <w:r>
        <w:rPr>
          <w:rFonts w:hint="eastAsia" w:ascii="仿宋_GB2312" w:eastAsia="仿宋_GB2312" w:cs="仿宋_GB2312"/>
          <w:color w:val="auto"/>
          <w:sz w:val="32"/>
          <w:szCs w:val="32"/>
        </w:rPr>
        <w:t>（一）</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资料费：指在项目研究过程中需要支付的图书（包括外文图书）购置费，资料收集、整理、复印、翻拍、翻译费，专用软件购买费，文献检索费等。</w:t>
      </w:r>
    </w:p>
    <w:p>
      <w:pPr>
        <w:spacing w:line="560" w:lineRule="exact"/>
        <w:ind w:firstLine="640" w:firstLineChars="200"/>
        <w:jc w:val="left"/>
        <w:rPr>
          <w:rFonts w:ascii="仿宋_GB2312" w:eastAsia="仿宋_GB2312"/>
          <w:color w:val="auto"/>
          <w:sz w:val="32"/>
          <w:szCs w:val="32"/>
        </w:rPr>
      </w:pPr>
      <w:r>
        <w:rPr>
          <w:rFonts w:hint="eastAsia" w:ascii="仿宋_GB2312" w:eastAsia="仿宋_GB2312" w:cs="仿宋_GB2312"/>
          <w:color w:val="auto"/>
          <w:sz w:val="32"/>
          <w:szCs w:val="32"/>
        </w:rPr>
        <w:t>（二）</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数据采集费：指在项目研究过程中发生的调查、访谈、数据购买、数据分析及相应技术服务购买等支出的费用。</w:t>
      </w:r>
    </w:p>
    <w:p>
      <w:pPr>
        <w:spacing w:line="560" w:lineRule="exact"/>
        <w:ind w:firstLine="640" w:firstLineChars="200"/>
        <w:rPr>
          <w:rFonts w:hint="eastAsia" w:ascii="宋体" w:hAnsi="宋体"/>
          <w:color w:val="auto"/>
          <w:sz w:val="32"/>
          <w:szCs w:val="32"/>
        </w:rPr>
      </w:pPr>
      <w:r>
        <w:rPr>
          <w:rFonts w:hint="eastAsia" w:ascii="仿宋_GB2312" w:eastAsia="仿宋_GB2312" w:cs="仿宋_GB2312"/>
          <w:color w:val="auto"/>
          <w:sz w:val="32"/>
          <w:szCs w:val="32"/>
        </w:rPr>
        <w:t>（三）会议费/差旅费/国际合作与交流费：指在项目研究过程中开展学术研讨、咨询交流、考察调研等活动而发生的会议、交通、食宿等费用，以及项目研究人员出国及赴港澳台、外国专家来华及港澳台专家来内地开展学术合作与交流的费用。</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四</w:t>
      </w:r>
      <w:r>
        <w:rPr>
          <w:rFonts w:hint="eastAsia" w:ascii="仿宋_GB2312" w:eastAsia="仿宋_GB2312" w:cs="仿宋_GB2312"/>
          <w:color w:val="auto"/>
          <w:sz w:val="32"/>
          <w:szCs w:val="32"/>
        </w:rPr>
        <w:t>）</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设备费：指在项目研究过程中购置设备和设备耗材、升级维护现有设备以及租用外单位设备而发生的费用。</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五</w:t>
      </w:r>
      <w:r>
        <w:rPr>
          <w:rFonts w:hint="eastAsia" w:ascii="仿宋_GB2312" w:eastAsia="仿宋_GB2312" w:cs="仿宋_GB2312"/>
          <w:color w:val="auto"/>
          <w:sz w:val="32"/>
          <w:szCs w:val="32"/>
        </w:rPr>
        <w:t>）专家咨询费：指在项目研究过程中支付给临时聘请的咨询专家的费用。</w:t>
      </w:r>
    </w:p>
    <w:p>
      <w:pPr>
        <w:spacing w:line="560" w:lineRule="exact"/>
        <w:ind w:firstLine="640" w:firstLineChars="200"/>
        <w:jc w:val="left"/>
        <w:rPr>
          <w:rFonts w:ascii="仿宋_GB2312" w:eastAsia="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六</w:t>
      </w:r>
      <w:r>
        <w:rPr>
          <w:rFonts w:hint="eastAsia" w:ascii="仿宋_GB2312" w:eastAsia="仿宋_GB2312" w:cs="仿宋_GB2312"/>
          <w:color w:val="auto"/>
          <w:sz w:val="32"/>
          <w:szCs w:val="32"/>
        </w:rPr>
        <w:t>）劳务费：指在项目研究过程中支付给参与项目研究的研究生、博士后、访问学者以及项目聘用的研究人员、科研辅助人员等的劳务费用。</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七</w:t>
      </w:r>
      <w:r>
        <w:rPr>
          <w:rFonts w:hint="eastAsia" w:ascii="仿宋_GB2312" w:eastAsia="仿宋_GB2312" w:cs="仿宋_GB2312"/>
          <w:color w:val="auto"/>
          <w:sz w:val="32"/>
          <w:szCs w:val="32"/>
        </w:rPr>
        <w:t>）印刷出版费：指在项目研究过程中发生的项目研究成果的打印费、印刷费、阶段性成果出版费等。</w:t>
      </w:r>
    </w:p>
    <w:p>
      <w:pPr>
        <w:spacing w:line="560" w:lineRule="exact"/>
        <w:ind w:firstLine="640" w:firstLineChars="200"/>
        <w:rPr>
          <w:rFonts w:ascii="仿宋_GB2312" w:eastAsia="仿宋_GB2312"/>
          <w:color w:val="auto"/>
          <w:sz w:val="32"/>
          <w:szCs w:val="32"/>
        </w:rPr>
      </w:pP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八</w:t>
      </w:r>
      <w:r>
        <w:rPr>
          <w:rFonts w:hint="eastAsia" w:ascii="仿宋_GB2312" w:eastAsia="仿宋_GB2312" w:cs="仿宋_GB2312"/>
          <w:color w:val="auto"/>
          <w:sz w:val="32"/>
          <w:szCs w:val="32"/>
        </w:rPr>
        <w:t>）其他支出：指在项目研究过程中发生的除上述费用之外的其他必要支出，在项目预算中应当单独列示，单独核定。</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直接费用应当纳入</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承担单位财务统一管理，单独核算，专款专用。</w:t>
      </w:r>
    </w:p>
    <w:p>
      <w:pPr>
        <w:spacing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bCs/>
          <w:color w:val="auto"/>
          <w:sz w:val="32"/>
          <w:szCs w:val="32"/>
        </w:rPr>
        <w:t>第九条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间接费用是指</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承担单位在组织实施项目过程中发生的无法在直接费用中列支的相关费用，主要用于补偿</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承担单位为项目研究提供的现有仪器设备及房屋、水、电、气、暖消耗等间接成本，有关管理费用，以及激励科研人员的绩效支出等。</w:t>
      </w:r>
    </w:p>
    <w:p>
      <w:pPr>
        <w:spacing w:line="560" w:lineRule="exact"/>
        <w:ind w:firstLine="640" w:firstLineChars="200"/>
        <w:rPr>
          <w:rFonts w:ascii="仿宋_GB2312" w:eastAsia="仿宋_GB2312"/>
          <w:color w:val="auto"/>
          <w:sz w:val="32"/>
          <w:szCs w:val="32"/>
        </w:rPr>
      </w:pPr>
    </w:p>
    <w:p>
      <w:pPr>
        <w:numPr>
          <w:ilvl w:val="0"/>
          <w:numId w:val="3"/>
        </w:numPr>
        <w:spacing w:line="560" w:lineRule="exact"/>
        <w:jc w:val="center"/>
        <w:outlineLvl w:val="0"/>
        <w:rPr>
          <w:rFonts w:hint="eastAsia" w:ascii="黑体" w:eastAsia="黑体" w:cs="黑体"/>
          <w:color w:val="auto"/>
          <w:sz w:val="32"/>
          <w:szCs w:val="32"/>
        </w:rPr>
      </w:pPr>
      <w:r>
        <w:rPr>
          <w:rFonts w:ascii="黑体" w:eastAsia="黑体" w:cs="黑体"/>
          <w:color w:val="auto"/>
          <w:sz w:val="32"/>
          <w:szCs w:val="32"/>
        </w:rPr>
        <w:t xml:space="preserve"> </w:t>
      </w:r>
      <w:r>
        <w:rPr>
          <w:rFonts w:hint="eastAsia" w:ascii="黑体" w:eastAsia="黑体" w:cs="黑体"/>
          <w:color w:val="auto"/>
          <w:sz w:val="32"/>
          <w:szCs w:val="32"/>
        </w:rPr>
        <w:t>预算</w:t>
      </w:r>
      <w:r>
        <w:rPr>
          <w:rFonts w:hint="eastAsia" w:ascii="黑体" w:eastAsia="黑体" w:cs="黑体"/>
          <w:color w:val="auto"/>
          <w:sz w:val="32"/>
          <w:szCs w:val="32"/>
          <w:lang w:eastAsia="zh-CN"/>
        </w:rPr>
        <w:t>编制与</w:t>
      </w:r>
      <w:r>
        <w:rPr>
          <w:rFonts w:hint="eastAsia" w:ascii="黑体" w:eastAsia="黑体" w:cs="黑体"/>
          <w:color w:val="auto"/>
          <w:sz w:val="32"/>
          <w:szCs w:val="32"/>
        </w:rPr>
        <w:t>管理</w:t>
      </w:r>
    </w:p>
    <w:p>
      <w:pPr>
        <w:numPr>
          <w:numId w:val="0"/>
        </w:numPr>
        <w:spacing w:line="560" w:lineRule="exact"/>
        <w:jc w:val="both"/>
        <w:outlineLvl w:val="0"/>
        <w:rPr>
          <w:rFonts w:hint="eastAsia" w:ascii="黑体" w:eastAsia="黑体" w:cs="黑体"/>
          <w:color w:val="auto"/>
          <w:sz w:val="32"/>
          <w:szCs w:val="32"/>
        </w:rPr>
      </w:pP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第十条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项目负责人应当根据项目研究需要和资金开支范围，科学合理、实事求是地编制项目预算，并对直接费用支出的主要用途和测算理由等作出说明。</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项目负责人应当在收到立项通知之日起</w:t>
      </w:r>
      <w:r>
        <w:rPr>
          <w:rFonts w:ascii="仿宋_GB2312" w:eastAsia="仿宋_GB2312" w:cs="仿宋_GB2312"/>
          <w:color w:val="auto"/>
          <w:sz w:val="32"/>
          <w:szCs w:val="32"/>
        </w:rPr>
        <w:t>30</w:t>
      </w:r>
      <w:r>
        <w:rPr>
          <w:rFonts w:hint="eastAsia" w:ascii="仿宋_GB2312" w:eastAsia="仿宋_GB2312" w:cs="仿宋_GB2312"/>
          <w:color w:val="auto"/>
          <w:sz w:val="32"/>
          <w:szCs w:val="32"/>
        </w:rPr>
        <w:t>日内完成预算编制。无特殊情况，逾期不提交的，视为自动放弃资助。</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第十一条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项目承担单位</w:t>
      </w:r>
      <w:r>
        <w:rPr>
          <w:rFonts w:hint="eastAsia" w:ascii="仿宋_GB2312" w:eastAsia="仿宋_GB2312" w:cs="仿宋_GB2312"/>
          <w:color w:val="auto"/>
          <w:sz w:val="32"/>
          <w:szCs w:val="32"/>
          <w:lang w:eastAsia="zh-CN"/>
        </w:rPr>
        <w:t>科研管理部门会同单位财务管理部门，按照</w:t>
      </w:r>
      <w:r>
        <w:rPr>
          <w:rFonts w:hint="eastAsia" w:ascii="仿宋_GB2312" w:eastAsia="仿宋_GB2312" w:cs="仿宋_GB2312"/>
          <w:color w:val="auto"/>
          <w:sz w:val="32"/>
          <w:szCs w:val="32"/>
        </w:rPr>
        <w:t>政策相符性、目标相关性和经济</w:t>
      </w:r>
      <w:r>
        <w:rPr>
          <w:rFonts w:ascii="仿宋_GB2312" w:eastAsia="仿宋_GB2312" w:cs="仿宋_GB2312"/>
          <w:color w:val="auto"/>
          <w:sz w:val="32"/>
          <w:szCs w:val="32"/>
        </w:rPr>
        <w:t>合理性</w:t>
      </w:r>
      <w:r>
        <w:rPr>
          <w:rFonts w:hint="eastAsia" w:ascii="仿宋_GB2312" w:eastAsia="仿宋_GB2312" w:cs="仿宋_GB2312"/>
          <w:color w:val="auto"/>
          <w:sz w:val="32"/>
          <w:szCs w:val="32"/>
          <w:lang w:eastAsia="zh-CN"/>
        </w:rPr>
        <w:t>原则，对项目资金预算进行</w:t>
      </w:r>
      <w:r>
        <w:rPr>
          <w:rFonts w:hint="eastAsia" w:ascii="仿宋_GB2312" w:eastAsia="仿宋_GB2312" w:cs="仿宋_GB2312"/>
          <w:color w:val="auto"/>
          <w:sz w:val="32"/>
          <w:szCs w:val="32"/>
        </w:rPr>
        <w:t>审核</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并签署</w:t>
      </w:r>
      <w:r>
        <w:rPr>
          <w:rFonts w:hint="eastAsia" w:ascii="仿宋_GB2312" w:eastAsia="仿宋_GB2312" w:cs="仿宋_GB2312"/>
          <w:color w:val="auto"/>
          <w:sz w:val="32"/>
          <w:szCs w:val="32"/>
          <w:lang w:eastAsia="zh-CN"/>
        </w:rPr>
        <w:t>明确</w:t>
      </w:r>
      <w:r>
        <w:rPr>
          <w:rFonts w:hint="eastAsia" w:ascii="仿宋_GB2312" w:eastAsia="仿宋_GB2312" w:cs="仿宋_GB2312"/>
          <w:color w:val="auto"/>
          <w:sz w:val="32"/>
          <w:szCs w:val="32"/>
        </w:rPr>
        <w:t>意见。</w:t>
      </w:r>
    </w:p>
    <w:p>
      <w:pPr>
        <w:spacing w:line="560" w:lineRule="exact"/>
        <w:ind w:firstLine="643" w:firstLineChars="200"/>
        <w:rPr>
          <w:rFonts w:hint="eastAsia" w:ascii="仿宋_GB2312" w:eastAsia="仿宋_GB2312" w:cs="仿宋_GB2312"/>
          <w:color w:val="auto"/>
          <w:sz w:val="32"/>
          <w:szCs w:val="32"/>
          <w:lang w:eastAsia="zh-CN"/>
        </w:rPr>
      </w:pPr>
      <w:r>
        <w:rPr>
          <w:rFonts w:hint="eastAsia" w:ascii="仿宋_GB2312" w:eastAsia="仿宋_GB2312" w:cs="仿宋_GB2312"/>
          <w:b/>
          <w:bCs/>
          <w:color w:val="auto"/>
          <w:sz w:val="32"/>
          <w:szCs w:val="32"/>
        </w:rPr>
        <w:t>第十二条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市社科联、</w:t>
      </w:r>
      <w:r>
        <w:rPr>
          <w:rFonts w:hint="eastAsia" w:ascii="仿宋_GB2312" w:eastAsia="仿宋_GB2312" w:cs="仿宋_GB2312"/>
          <w:color w:val="auto"/>
          <w:sz w:val="32"/>
          <w:szCs w:val="32"/>
        </w:rPr>
        <w:t>市社科规划办</w:t>
      </w:r>
      <w:r>
        <w:rPr>
          <w:rFonts w:hint="eastAsia" w:ascii="仿宋_GB2312" w:eastAsia="仿宋_GB2312" w:cs="仿宋_GB2312"/>
          <w:color w:val="auto"/>
          <w:sz w:val="32"/>
          <w:szCs w:val="32"/>
          <w:lang w:eastAsia="zh-CN"/>
        </w:rPr>
        <w:t>对项目预算进行复核。复核未通过的，项目负责人应当按要求调整后重新上报。各单位的审核履职情况将纳入承担单位信用记录，并作为评比优秀二级管理单位的重要依据。</w:t>
      </w:r>
    </w:p>
    <w:p>
      <w:pPr>
        <w:spacing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bCs/>
          <w:color w:val="auto"/>
          <w:sz w:val="32"/>
          <w:szCs w:val="32"/>
        </w:rPr>
        <w:t>第十三条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lang w:eastAsia="zh-CN"/>
        </w:rPr>
        <w:t>市社科联、</w:t>
      </w:r>
      <w:r>
        <w:rPr>
          <w:rFonts w:hint="eastAsia" w:ascii="仿宋_GB2312" w:eastAsia="仿宋_GB2312" w:cs="仿宋_GB2312"/>
          <w:color w:val="auto"/>
          <w:sz w:val="32"/>
          <w:szCs w:val="32"/>
        </w:rPr>
        <w:t>市社科规划办将全部立项项目</w:t>
      </w:r>
      <w:r>
        <w:rPr>
          <w:rFonts w:hint="eastAsia" w:ascii="仿宋_GB2312" w:eastAsia="仿宋_GB2312" w:cs="仿宋_GB2312"/>
          <w:color w:val="auto"/>
          <w:sz w:val="32"/>
          <w:szCs w:val="32"/>
          <w:lang w:eastAsia="zh-CN"/>
        </w:rPr>
        <w:t>资金</w:t>
      </w:r>
      <w:r>
        <w:rPr>
          <w:rFonts w:hint="eastAsia" w:ascii="仿宋_GB2312" w:eastAsia="仿宋_GB2312" w:cs="仿宋_GB2312"/>
          <w:color w:val="auto"/>
          <w:sz w:val="32"/>
          <w:szCs w:val="32"/>
        </w:rPr>
        <w:t>分类打包报送市财政局审核</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批复后</w:t>
      </w:r>
      <w:r>
        <w:rPr>
          <w:rFonts w:hint="eastAsia" w:ascii="仿宋_GB2312" w:eastAsia="仿宋_GB2312" w:cs="仿宋_GB2312"/>
          <w:color w:val="auto"/>
          <w:sz w:val="32"/>
          <w:szCs w:val="32"/>
          <w:lang w:eastAsia="zh-CN"/>
        </w:rPr>
        <w:t>予以</w:t>
      </w:r>
      <w:r>
        <w:rPr>
          <w:rFonts w:hint="eastAsia" w:ascii="仿宋_GB2312" w:eastAsia="仿宋_GB2312" w:cs="仿宋_GB2312"/>
          <w:color w:val="auto"/>
          <w:sz w:val="32"/>
          <w:szCs w:val="32"/>
        </w:rPr>
        <w:t>拨付。</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第十四条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项目资金预算编制和使用要求</w:t>
      </w:r>
    </w:p>
    <w:p>
      <w:pPr>
        <w:spacing w:line="560" w:lineRule="exact"/>
        <w:ind w:firstLine="566" w:firstLineChars="177"/>
        <w:rPr>
          <w:rFonts w:ascii="仿宋_GB2312" w:eastAsia="仿宋_GB2312"/>
          <w:color w:val="auto"/>
          <w:sz w:val="32"/>
          <w:szCs w:val="32"/>
        </w:rPr>
      </w:pPr>
      <w:r>
        <w:rPr>
          <w:rFonts w:hint="eastAsia" w:ascii="仿宋_GB2312" w:eastAsia="仿宋_GB2312" w:cs="仿宋_GB2312"/>
          <w:color w:val="auto"/>
          <w:sz w:val="32"/>
          <w:szCs w:val="32"/>
        </w:rPr>
        <w:t>（一）在项目资金中列支的差旅费、会议费不纳入</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机关运行经费和行政一般性支出统计范围，不受“零增长”限制。项目承担单位应按照实事求是、精简高效、厉行节约的原则，制定差旅费、会议费管理办法，合理确定项目人员乘坐交通工具等级、住宿费标准，</w:t>
      </w:r>
      <w:r>
        <w:rPr>
          <w:rFonts w:hint="eastAsia" w:ascii="仿宋_GB2312" w:eastAsia="仿宋_GB2312" w:cs="仿宋_GB2312"/>
          <w:color w:val="auto"/>
          <w:sz w:val="32"/>
          <w:szCs w:val="32"/>
          <w:lang w:eastAsia="zh-CN"/>
        </w:rPr>
        <w:t>以及</w:t>
      </w:r>
      <w:r>
        <w:rPr>
          <w:rFonts w:hint="eastAsia" w:ascii="仿宋_GB2312" w:eastAsia="仿宋_GB2312" w:cs="仿宋_GB2312"/>
          <w:color w:val="auto"/>
          <w:sz w:val="32"/>
          <w:szCs w:val="32"/>
        </w:rPr>
        <w:t>会议次数、天数、人数和会议费开支范围、标准</w:t>
      </w:r>
      <w:r>
        <w:rPr>
          <w:rFonts w:hint="eastAsia" w:ascii="仿宋_GB2312" w:eastAsia="仿宋_GB2312" w:cs="仿宋_GB2312"/>
          <w:color w:val="auto"/>
          <w:sz w:val="32"/>
          <w:szCs w:val="32"/>
          <w:lang w:eastAsia="zh-CN"/>
        </w:rPr>
        <w:t>等</w:t>
      </w:r>
      <w:r>
        <w:rPr>
          <w:rFonts w:hint="eastAsia" w:ascii="仿宋_GB2312" w:eastAsia="仿宋_GB2312" w:cs="仿宋_GB2312"/>
          <w:color w:val="auto"/>
          <w:sz w:val="32"/>
          <w:szCs w:val="32"/>
        </w:rPr>
        <w:t>。</w:t>
      </w:r>
    </w:p>
    <w:p>
      <w:pPr>
        <w:spacing w:line="560" w:lineRule="exact"/>
        <w:ind w:firstLine="566" w:firstLineChars="177"/>
        <w:rPr>
          <w:rFonts w:ascii="仿宋_GB2312" w:eastAsia="仿宋_GB2312"/>
          <w:color w:val="auto"/>
          <w:sz w:val="32"/>
          <w:szCs w:val="32"/>
        </w:rPr>
      </w:pPr>
      <w:r>
        <w:rPr>
          <w:rFonts w:hint="eastAsia" w:ascii="仿宋_GB2312" w:eastAsia="仿宋_GB2312" w:cs="仿宋_GB2312"/>
          <w:color w:val="auto"/>
          <w:sz w:val="32"/>
          <w:szCs w:val="32"/>
        </w:rPr>
        <w:t>（二）在项目资金中列支国际合作交流费不纳入</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承担单位“三公”经费统计范围，不受</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零增长</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rPr>
        <w:t>限制。国际合作交流费支出标准应严格执行国家及北京市外事经费管理的有关规定。</w:t>
      </w:r>
    </w:p>
    <w:p>
      <w:pPr>
        <w:spacing w:line="560" w:lineRule="exact"/>
        <w:ind w:firstLine="566" w:firstLineChars="177"/>
        <w:rPr>
          <w:rFonts w:ascii="仿宋_GB2312" w:eastAsia="仿宋_GB2312"/>
          <w:color w:val="auto"/>
          <w:sz w:val="32"/>
          <w:szCs w:val="32"/>
        </w:rPr>
      </w:pPr>
      <w:r>
        <w:rPr>
          <w:rFonts w:hint="eastAsia" w:ascii="仿宋_GB2312" w:eastAsia="仿宋_GB2312" w:cs="仿宋_GB2312"/>
          <w:color w:val="auto"/>
          <w:sz w:val="32"/>
          <w:szCs w:val="32"/>
        </w:rPr>
        <w:t>差旅费、会议费、国际合作交流费三项总额</w:t>
      </w:r>
      <w:r>
        <w:rPr>
          <w:rFonts w:hint="eastAsia" w:ascii="仿宋_GB2312" w:eastAsia="仿宋_GB2312" w:cs="仿宋_GB2312"/>
          <w:color w:val="auto"/>
          <w:sz w:val="32"/>
          <w:szCs w:val="32"/>
          <w:lang w:eastAsia="zh-CN"/>
        </w:rPr>
        <w:t>未</w:t>
      </w:r>
      <w:r>
        <w:rPr>
          <w:rFonts w:hint="eastAsia" w:ascii="仿宋_GB2312" w:eastAsia="仿宋_GB2312" w:cs="仿宋_GB2312"/>
          <w:color w:val="auto"/>
          <w:sz w:val="32"/>
          <w:szCs w:val="32"/>
        </w:rPr>
        <w:t>超过直接费用</w:t>
      </w:r>
      <w:r>
        <w:rPr>
          <w:rFonts w:ascii="仿宋_GB2312" w:eastAsia="仿宋_GB2312" w:cs="仿宋_GB2312"/>
          <w:color w:val="auto"/>
          <w:sz w:val="32"/>
          <w:szCs w:val="32"/>
        </w:rPr>
        <w:t>20%</w:t>
      </w:r>
      <w:r>
        <w:rPr>
          <w:rFonts w:hint="eastAsia" w:ascii="仿宋_GB2312" w:eastAsia="仿宋_GB2312" w:cs="仿宋_GB2312"/>
          <w:color w:val="auto"/>
          <w:sz w:val="32"/>
          <w:szCs w:val="32"/>
        </w:rPr>
        <w:t>的，不需要提供预算测算依据。</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（三）严格控制设备购置，鼓励共享、租赁以及对现有设备进行升级。因项目研究确需购置的，应当在项目预算中单独列示，经</w:t>
      </w:r>
      <w:r>
        <w:rPr>
          <w:rFonts w:hint="eastAsia" w:ascii="仿宋_GB2312" w:eastAsia="仿宋_GB2312" w:cs="仿宋_GB2312"/>
          <w:color w:val="auto"/>
          <w:sz w:val="32"/>
          <w:szCs w:val="32"/>
          <w:lang w:eastAsia="zh-CN"/>
        </w:rPr>
        <w:t>市社科联、</w:t>
      </w:r>
      <w:r>
        <w:rPr>
          <w:rFonts w:hint="eastAsia" w:ascii="仿宋_GB2312" w:eastAsia="仿宋_GB2312" w:cs="仿宋_GB2312"/>
          <w:color w:val="auto"/>
          <w:sz w:val="32"/>
          <w:szCs w:val="32"/>
        </w:rPr>
        <w:t>市社科规划办批准后方可购置，并由项目</w:t>
      </w:r>
      <w:r>
        <w:rPr>
          <w:rFonts w:hint="eastAsia" w:ascii="仿宋_GB2312" w:eastAsia="仿宋_GB2312" w:cs="仿宋_GB2312"/>
          <w:color w:val="auto"/>
          <w:sz w:val="32"/>
          <w:szCs w:val="32"/>
          <w:lang w:eastAsia="zh-CN"/>
        </w:rPr>
        <w:t>承担</w:t>
      </w:r>
      <w:r>
        <w:rPr>
          <w:rFonts w:hint="eastAsia" w:ascii="仿宋_GB2312" w:eastAsia="仿宋_GB2312" w:cs="仿宋_GB2312"/>
          <w:color w:val="auto"/>
          <w:sz w:val="32"/>
          <w:szCs w:val="32"/>
        </w:rPr>
        <w:t>单位按照国有资产管理的规定进行管理。</w:t>
      </w:r>
      <w:r>
        <w:rPr>
          <w:rFonts w:hint="eastAsia" w:ascii="仿宋_GB2312" w:eastAsia="仿宋_GB2312" w:cs="仿宋_GB2312"/>
          <w:color w:val="auto"/>
          <w:sz w:val="32"/>
          <w:szCs w:val="32"/>
          <w:lang w:eastAsia="zh-CN"/>
        </w:rPr>
        <w:t>未在项目预算中列支设备费的，原则上不再予以增列。</w:t>
      </w:r>
    </w:p>
    <w:p>
      <w:pPr>
        <w:spacing w:line="560" w:lineRule="exact"/>
        <w:ind w:firstLine="640" w:firstLineChars="200"/>
        <w:rPr>
          <w:rFonts w:ascii="仿宋_GB2312" w:eastAsia="仿宋_GB2312"/>
          <w:color w:val="FF0000"/>
          <w:sz w:val="32"/>
          <w:szCs w:val="32"/>
        </w:rPr>
      </w:pPr>
      <w:r>
        <w:rPr>
          <w:rFonts w:hint="eastAsia" w:ascii="仿宋_GB2312" w:eastAsia="仿宋_GB2312" w:cs="仿宋_GB2312"/>
          <w:color w:val="auto"/>
          <w:sz w:val="32"/>
          <w:szCs w:val="32"/>
        </w:rPr>
        <w:t>（四）项目聘用人员的劳务费开支标准，参照北京市科学研究和技术服务业人员平均工资水平以及在项目研究中承担的工作任务确定，其社会保险补助费用纳入劳务费列支。劳务费预算应根据项目研究实际需要编制。</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（五）专家咨询费不得支付给参与项目研究及管理相关的工作人员。专家咨询费预算由项目负责人按照项目研究实际需要编制，支出标准按照</w:t>
      </w:r>
      <w:r>
        <w:rPr>
          <w:rFonts w:hint="eastAsia" w:ascii="仿宋_GB2312" w:eastAsia="仿宋_GB2312" w:cs="仿宋_GB2312"/>
          <w:color w:val="auto"/>
          <w:sz w:val="32"/>
          <w:szCs w:val="32"/>
          <w:lang w:eastAsia="zh-CN"/>
        </w:rPr>
        <w:t>北京市</w:t>
      </w:r>
      <w:r>
        <w:rPr>
          <w:rFonts w:hint="eastAsia" w:ascii="仿宋_GB2312" w:eastAsia="仿宋_GB2312" w:cs="仿宋_GB2312"/>
          <w:color w:val="auto"/>
          <w:sz w:val="32"/>
          <w:szCs w:val="32"/>
        </w:rPr>
        <w:t>有关规定执行。</w:t>
      </w:r>
    </w:p>
    <w:p>
      <w:pPr>
        <w:spacing w:line="560" w:lineRule="exact"/>
        <w:ind w:firstLine="640" w:firstLineChars="200"/>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（六）印刷出版费不得列支论文发表版面费和最终成果出版费。</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w:t>
      </w:r>
      <w:r>
        <w:rPr>
          <w:rFonts w:hint="eastAsia" w:ascii="仿宋_GB2312" w:eastAsia="仿宋_GB2312" w:cs="仿宋_GB2312"/>
          <w:color w:val="auto"/>
          <w:sz w:val="32"/>
          <w:szCs w:val="32"/>
          <w:lang w:eastAsia="zh-CN"/>
        </w:rPr>
        <w:t>七</w:t>
      </w:r>
      <w:r>
        <w:rPr>
          <w:rFonts w:hint="eastAsia" w:ascii="仿宋_GB2312" w:eastAsia="仿宋_GB2312" w:cs="仿宋_GB2312"/>
          <w:color w:val="auto"/>
          <w:sz w:val="32"/>
          <w:szCs w:val="32"/>
        </w:rPr>
        <w:t>）间接费用实行总额控制，按照不超过项目资助总额的3</w:t>
      </w:r>
      <w:r>
        <w:rPr>
          <w:rFonts w:ascii="仿宋_GB2312" w:eastAsia="仿宋_GB2312" w:cs="仿宋_GB2312"/>
          <w:color w:val="auto"/>
          <w:sz w:val="32"/>
          <w:szCs w:val="32"/>
        </w:rPr>
        <w:t>0%</w:t>
      </w:r>
      <w:r>
        <w:rPr>
          <w:rFonts w:hint="eastAsia" w:ascii="仿宋_GB2312" w:eastAsia="仿宋_GB2312" w:cs="仿宋_GB2312"/>
          <w:color w:val="auto"/>
          <w:sz w:val="32"/>
          <w:szCs w:val="32"/>
        </w:rPr>
        <w:t>核定，由项目承担单位统筹管理使用。</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项目承担单位应当处理好合理分摊间接成本和对科研人员激励的关系，绩效支出只能用于项目组成员，不得截留、挪用。项目负责人应根据科研人员在项目中的实际贡献，结合项目研究进度和完成质量，公开、公正安排绩效支出。</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承担单位中的国有企事业单位从项目资金中列支的编制内有工资性收入科研人员的绩效支出，一次性计入单位工资总额，但不受当年本单位工资总额限制，不纳入本单位工资总额基数。</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项目承担单位不得在核定的间接费用以外再以任何名义在项目资金中重复提取、列支相关费用。</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第十五条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项目资金由项目承担单位统一管理，一般不能转拨其他单位。如研究项目中有重要协作单位并</w:t>
      </w:r>
      <w:r>
        <w:rPr>
          <w:rFonts w:hint="eastAsia" w:ascii="仿宋_GB2312" w:eastAsia="仿宋_GB2312" w:cs="仿宋_GB2312"/>
          <w:color w:val="auto"/>
          <w:sz w:val="32"/>
          <w:szCs w:val="32"/>
          <w:lang w:eastAsia="zh-CN"/>
        </w:rPr>
        <w:t>需</w:t>
      </w:r>
      <w:r>
        <w:rPr>
          <w:rFonts w:hint="eastAsia" w:ascii="仿宋_GB2312" w:eastAsia="仿宋_GB2312" w:cs="仿宋_GB2312"/>
          <w:color w:val="auto"/>
          <w:sz w:val="32"/>
          <w:szCs w:val="32"/>
        </w:rPr>
        <w:t>给予经费的，在编报项目申请书及预算时，须明确有关协作单位的研究任务与预算支出额度，经</w:t>
      </w:r>
      <w:r>
        <w:rPr>
          <w:rFonts w:hint="eastAsia" w:ascii="仿宋_GB2312" w:eastAsia="仿宋_GB2312" w:cs="仿宋_GB2312"/>
          <w:color w:val="auto"/>
          <w:sz w:val="32"/>
          <w:szCs w:val="32"/>
          <w:lang w:eastAsia="zh-CN"/>
        </w:rPr>
        <w:t>市社科联、</w:t>
      </w:r>
      <w:r>
        <w:rPr>
          <w:rFonts w:hint="eastAsia" w:ascii="仿宋_GB2312" w:eastAsia="仿宋_GB2312" w:cs="仿宋_GB2312"/>
          <w:color w:val="auto"/>
          <w:sz w:val="32"/>
          <w:szCs w:val="32"/>
        </w:rPr>
        <w:t>市社科规划办审</w:t>
      </w:r>
      <w:r>
        <w:rPr>
          <w:rFonts w:hint="eastAsia" w:ascii="仿宋_GB2312" w:eastAsia="仿宋_GB2312" w:cs="仿宋_GB2312"/>
          <w:color w:val="auto"/>
          <w:sz w:val="32"/>
          <w:szCs w:val="32"/>
          <w:lang w:eastAsia="zh-CN"/>
        </w:rPr>
        <w:t>批，</w:t>
      </w:r>
      <w:r>
        <w:rPr>
          <w:rFonts w:hint="eastAsia" w:ascii="仿宋_GB2312" w:eastAsia="仿宋_GB2312" w:cs="仿宋_GB2312"/>
          <w:color w:val="auto"/>
          <w:sz w:val="32"/>
          <w:szCs w:val="32"/>
        </w:rPr>
        <w:t>预算资金下达到项目承担单位后，按照项目立项时批准的额度，转拨给有关协作单位。</w:t>
      </w:r>
      <w:r>
        <w:rPr>
          <w:rFonts w:hint="eastAsia" w:ascii="仿宋_GB2312" w:eastAsia="仿宋_GB2312" w:cs="仿宋_GB2312"/>
          <w:color w:val="auto"/>
          <w:sz w:val="32"/>
          <w:szCs w:val="32"/>
          <w:lang w:eastAsia="zh-CN"/>
        </w:rPr>
        <w:t>未在项目预算中列支外拨资金的，原则上不再予以增列。</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协作单位</w:t>
      </w:r>
      <w:r>
        <w:rPr>
          <w:rFonts w:hint="eastAsia" w:ascii="仿宋_GB2312" w:eastAsia="仿宋_GB2312" w:cs="仿宋_GB2312"/>
          <w:color w:val="auto"/>
          <w:sz w:val="32"/>
          <w:szCs w:val="32"/>
          <w:lang w:eastAsia="zh-CN"/>
        </w:rPr>
        <w:t>所取得的</w:t>
      </w:r>
      <w:r>
        <w:rPr>
          <w:rFonts w:hint="eastAsia" w:ascii="仿宋_GB2312" w:eastAsia="仿宋_GB2312" w:cs="仿宋_GB2312"/>
          <w:color w:val="auto"/>
          <w:sz w:val="32"/>
          <w:szCs w:val="32"/>
        </w:rPr>
        <w:t>资金应全部用于该项目研究支出</w:t>
      </w:r>
      <w:r>
        <w:rPr>
          <w:rFonts w:hint="eastAsia" w:ascii="仿宋_GB2312" w:eastAsia="仿宋_GB2312" w:cs="仿宋_GB2312"/>
          <w:color w:val="auto"/>
          <w:sz w:val="32"/>
          <w:szCs w:val="32"/>
          <w:lang w:eastAsia="zh-CN"/>
        </w:rPr>
        <w:t>，不</w:t>
      </w:r>
      <w:r>
        <w:rPr>
          <w:rFonts w:hint="eastAsia" w:ascii="仿宋_GB2312" w:eastAsia="仿宋_GB2312" w:cs="仿宋_GB2312"/>
          <w:color w:val="auto"/>
          <w:sz w:val="32"/>
          <w:szCs w:val="32"/>
        </w:rPr>
        <w:t>能再提取间接费用。</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b/>
          <w:bCs/>
          <w:color w:val="auto"/>
          <w:sz w:val="32"/>
          <w:szCs w:val="32"/>
          <w:lang w:eastAsia="zh-CN"/>
        </w:rPr>
        <w:t>第十六条</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项目负责人应当严格执行批准后的项目预算。确需调剂的，应当按照以下程序进行核批：</w:t>
      </w:r>
    </w:p>
    <w:p>
      <w:pPr>
        <w:numPr>
          <w:numId w:val="0"/>
        </w:numPr>
        <w:spacing w:line="560" w:lineRule="exact"/>
        <w:rPr>
          <w:rFonts w:hint="eastAsia" w:ascii="仿宋_GB2312" w:eastAsia="仿宋_GB2312" w:cs="仿宋_GB2312"/>
          <w:color w:val="auto"/>
          <w:sz w:val="32"/>
          <w:szCs w:val="32"/>
        </w:rPr>
      </w:pP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（一）项目预算总额调整，应由项目负责人提出申请，经项目承担单位</w:t>
      </w:r>
      <w:r>
        <w:rPr>
          <w:rFonts w:hint="eastAsia" w:ascii="仿宋_GB2312" w:eastAsia="仿宋_GB2312" w:cs="仿宋_GB2312"/>
          <w:color w:val="auto"/>
          <w:sz w:val="32"/>
          <w:szCs w:val="32"/>
          <w:lang w:eastAsia="zh-CN"/>
        </w:rPr>
        <w:t>审核后</w:t>
      </w:r>
      <w:r>
        <w:rPr>
          <w:rFonts w:hint="eastAsia" w:ascii="仿宋_GB2312" w:eastAsia="仿宋_GB2312" w:cs="仿宋_GB2312"/>
          <w:color w:val="auto"/>
          <w:sz w:val="32"/>
          <w:szCs w:val="32"/>
        </w:rPr>
        <w:t>报市社科</w:t>
      </w:r>
      <w:r>
        <w:rPr>
          <w:rFonts w:hint="eastAsia" w:ascii="仿宋_GB2312" w:eastAsia="仿宋_GB2312" w:cs="仿宋_GB2312"/>
          <w:color w:val="auto"/>
          <w:sz w:val="32"/>
          <w:szCs w:val="32"/>
          <w:lang w:eastAsia="zh-CN"/>
        </w:rPr>
        <w:t>联、市社科</w:t>
      </w:r>
      <w:r>
        <w:rPr>
          <w:rFonts w:hint="eastAsia" w:ascii="仿宋_GB2312" w:eastAsia="仿宋_GB2312" w:cs="仿宋_GB2312"/>
          <w:color w:val="auto"/>
          <w:sz w:val="32"/>
          <w:szCs w:val="32"/>
        </w:rPr>
        <w:t>规划办审批。</w:t>
      </w:r>
    </w:p>
    <w:p>
      <w:pPr>
        <w:spacing w:line="560" w:lineRule="exact"/>
        <w:ind w:firstLine="566" w:firstLineChars="177"/>
        <w:rPr>
          <w:rFonts w:hint="default" w:ascii="仿宋" w:hAnsi="仿宋" w:eastAsia="仿宋" w:cs="仿宋"/>
          <w:color w:val="auto"/>
          <w:sz w:val="32"/>
          <w:szCs w:val="32"/>
          <w:lang w:val="en-US" w:eastAsia="zh-CN"/>
        </w:rPr>
      </w:pPr>
      <w:r>
        <w:rPr>
          <w:rFonts w:hint="eastAsia" w:ascii="仿宋_GB2312" w:eastAsia="仿宋_GB2312" w:cs="仿宋_GB2312"/>
          <w:color w:val="auto"/>
          <w:sz w:val="32"/>
          <w:szCs w:val="32"/>
        </w:rPr>
        <w:t>（二）</w:t>
      </w:r>
      <w:r>
        <w:rPr>
          <w:rFonts w:hint="eastAsia" w:ascii="仿宋_GB2312" w:eastAsia="仿宋_GB2312" w:cs="仿宋_GB2312"/>
          <w:color w:val="auto"/>
          <w:sz w:val="32"/>
          <w:szCs w:val="32"/>
          <w:lang w:eastAsia="zh-CN"/>
        </w:rPr>
        <w:t>项目直接费用的预算调剂由项目负责人提出申请，由项目承担单位审批后执行，鉴定结项时报市社科联、市社科规划办审核备案。</w:t>
      </w:r>
    </w:p>
    <w:p>
      <w:pPr>
        <w:spacing w:line="560" w:lineRule="exact"/>
        <w:ind w:firstLine="566" w:firstLineChars="177"/>
        <w:rPr>
          <w:rFonts w:hint="eastAsia" w:ascii="仿宋_GB2312" w:eastAsia="仿宋_GB2312" w:cs="仿宋_GB2312"/>
          <w:color w:val="auto"/>
          <w:sz w:val="32"/>
          <w:szCs w:val="32"/>
        </w:rPr>
      </w:pPr>
      <w:r>
        <w:rPr>
          <w:rFonts w:hint="eastAsia" w:ascii="仿宋_GB2312" w:eastAsia="仿宋_GB2312" w:cs="仿宋_GB2312"/>
          <w:color w:val="auto"/>
          <w:sz w:val="32"/>
          <w:szCs w:val="32"/>
        </w:rPr>
        <w:t>（三）项目间接费用预算不得调剂。</w:t>
      </w:r>
    </w:p>
    <w:p>
      <w:pPr>
        <w:spacing w:line="560" w:lineRule="exact"/>
        <w:ind w:firstLine="566" w:firstLineChars="177"/>
        <w:rPr>
          <w:rFonts w:ascii="仿宋_GB2312" w:eastAsia="仿宋_GB2312"/>
          <w:color w:val="FF0000"/>
          <w:sz w:val="32"/>
          <w:szCs w:val="32"/>
        </w:rPr>
      </w:pPr>
      <w:r>
        <w:rPr>
          <w:rFonts w:hint="eastAsia" w:ascii="仿宋_GB2312" w:eastAsia="仿宋_GB2312" w:cs="仿宋_GB2312"/>
          <w:color w:val="auto"/>
          <w:sz w:val="32"/>
          <w:szCs w:val="32"/>
          <w:lang w:eastAsia="zh-CN"/>
        </w:rPr>
        <w:t>对于</w:t>
      </w:r>
      <w:r>
        <w:rPr>
          <w:rFonts w:hint="eastAsia" w:ascii="仿宋_GB2312" w:eastAsia="仿宋_GB2312" w:cs="仿宋_GB2312"/>
          <w:color w:val="auto"/>
          <w:sz w:val="32"/>
          <w:szCs w:val="32"/>
          <w:lang w:val="en-US" w:eastAsia="zh-CN"/>
        </w:rPr>
        <w:t>2016年（含）以前批准资助的在研项目，是否列支间接费用由项目承担单位自主决定。如列支，在项目预算总额不变的前提下，由项目承担单位按规定自主进行预算调剂审批，鉴定结项时报市社科联、市社科规划办审核备案。</w:t>
      </w:r>
    </w:p>
    <w:p>
      <w:pPr>
        <w:snapToGrid w:val="0"/>
        <w:spacing w:line="560" w:lineRule="exact"/>
        <w:ind w:firstLine="643" w:firstLineChars="200"/>
        <w:rPr>
          <w:rFonts w:ascii="仿宋_GB2312" w:hAnsi="仿宋" w:eastAsia="仿宋_GB2312"/>
          <w:color w:val="auto"/>
          <w:sz w:val="32"/>
          <w:szCs w:val="32"/>
        </w:rPr>
      </w:pPr>
      <w:r>
        <w:rPr>
          <w:rFonts w:hint="eastAsia" w:ascii="仿宋_GB2312" w:eastAsia="仿宋_GB2312" w:cs="仿宋_GB2312"/>
          <w:b/>
          <w:bCs/>
          <w:color w:val="auto"/>
          <w:sz w:val="32"/>
          <w:szCs w:val="32"/>
        </w:rPr>
        <w:t>第十七条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项目承担单位应当严格执行国家和北京市有关科研资金支出管理制度。从严控制现金支出事项，对于资料费、会议费、差旅费等，</w:t>
      </w:r>
      <w:r>
        <w:rPr>
          <w:rFonts w:hint="eastAsia" w:ascii="仿宋_GB2312" w:hAnsi="仿宋" w:eastAsia="仿宋_GB2312" w:cs="仿宋_GB2312"/>
          <w:color w:val="auto"/>
          <w:sz w:val="32"/>
          <w:szCs w:val="32"/>
        </w:rPr>
        <w:t>按财政部门相关规定实行银行转账或“公务卡”结算。</w:t>
      </w:r>
      <w:r>
        <w:rPr>
          <w:rFonts w:hint="eastAsia" w:ascii="仿宋_GB2312" w:eastAsia="仿宋_GB2312" w:cs="仿宋_GB2312"/>
          <w:color w:val="auto"/>
          <w:sz w:val="32"/>
          <w:szCs w:val="32"/>
        </w:rPr>
        <w:t>专家咨询费、劳务费等支出，原则上应当通过银行转账方式结算。</w:t>
      </w:r>
      <w:r>
        <w:rPr>
          <w:rFonts w:ascii="仿宋_GB2312" w:hAnsi="仿宋" w:eastAsia="仿宋_GB2312" w:cs="仿宋_GB2312"/>
          <w:color w:val="auto"/>
          <w:sz w:val="32"/>
          <w:szCs w:val="32"/>
        </w:rPr>
        <w:t xml:space="preserve"> </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对于野外考察、数据采集等科研活动中无法取得发票或财政性票据的支出，在确保真实性的前提下，项目承担单位可按实际发生额予以报销。</w:t>
      </w:r>
    </w:p>
    <w:p>
      <w:pPr>
        <w:spacing w:line="560" w:lineRule="exact"/>
        <w:ind w:firstLine="643" w:firstLineChars="200"/>
        <w:rPr>
          <w:rFonts w:ascii="仿宋_GB2312" w:eastAsia="仿宋_GB2312" w:cs="仿宋_GB2312"/>
          <w:color w:val="auto"/>
          <w:sz w:val="32"/>
          <w:szCs w:val="32"/>
        </w:rPr>
      </w:pPr>
      <w:r>
        <w:rPr>
          <w:rFonts w:hint="eastAsia" w:ascii="仿宋_GB2312" w:eastAsia="仿宋_GB2312" w:cs="仿宋_GB2312"/>
          <w:b/>
          <w:bCs/>
          <w:color w:val="auto"/>
          <w:sz w:val="32"/>
          <w:szCs w:val="32"/>
        </w:rPr>
        <w:t>第十八条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项目研究完成后，项目负责人应会同所在单位财务部门清理该项目收支账目，编制《北京</w:t>
      </w:r>
      <w:r>
        <w:rPr>
          <w:rFonts w:hint="eastAsia" w:ascii="仿宋_GB2312" w:eastAsia="仿宋_GB2312" w:cs="仿宋_GB2312"/>
          <w:color w:val="auto"/>
          <w:sz w:val="32"/>
          <w:szCs w:val="32"/>
          <w:lang w:eastAsia="zh-CN"/>
        </w:rPr>
        <w:t>市</w:t>
      </w:r>
      <w:r>
        <w:rPr>
          <w:rFonts w:hint="eastAsia" w:ascii="仿宋_GB2312" w:eastAsia="仿宋_GB2312" w:cs="仿宋_GB2312"/>
          <w:color w:val="auto"/>
          <w:sz w:val="32"/>
          <w:szCs w:val="32"/>
        </w:rPr>
        <w:t>社</w:t>
      </w:r>
      <w:r>
        <w:rPr>
          <w:rFonts w:hint="eastAsia" w:ascii="仿宋_GB2312" w:eastAsia="仿宋_GB2312" w:cs="仿宋_GB2312"/>
          <w:color w:val="auto"/>
          <w:sz w:val="32"/>
          <w:szCs w:val="32"/>
          <w:lang w:eastAsia="zh-CN"/>
        </w:rPr>
        <w:t>会</w:t>
      </w:r>
      <w:r>
        <w:rPr>
          <w:rFonts w:hint="eastAsia" w:ascii="仿宋_GB2312" w:eastAsia="仿宋_GB2312" w:cs="仿宋_GB2312"/>
          <w:color w:val="auto"/>
          <w:sz w:val="32"/>
          <w:szCs w:val="32"/>
        </w:rPr>
        <w:t>科</w:t>
      </w:r>
      <w:r>
        <w:rPr>
          <w:rFonts w:hint="eastAsia" w:ascii="仿宋_GB2312" w:eastAsia="仿宋_GB2312" w:cs="仿宋_GB2312"/>
          <w:color w:val="auto"/>
          <w:sz w:val="32"/>
          <w:szCs w:val="32"/>
          <w:lang w:eastAsia="zh-CN"/>
        </w:rPr>
        <w:t>学</w:t>
      </w:r>
      <w:r>
        <w:rPr>
          <w:rFonts w:hint="eastAsia" w:ascii="仿宋_GB2312" w:eastAsia="仿宋_GB2312" w:cs="仿宋_GB2312"/>
          <w:color w:val="auto"/>
          <w:sz w:val="32"/>
          <w:szCs w:val="32"/>
        </w:rPr>
        <w:t>基金项目</w:t>
      </w:r>
      <w:r>
        <w:rPr>
          <w:rFonts w:hint="eastAsia" w:ascii="仿宋_GB2312" w:eastAsia="仿宋_GB2312" w:cs="仿宋_GB2312"/>
          <w:color w:val="auto"/>
          <w:sz w:val="32"/>
          <w:szCs w:val="32"/>
          <w:lang w:eastAsia="zh-CN"/>
        </w:rPr>
        <w:t>鉴定</w:t>
      </w:r>
      <w:r>
        <w:rPr>
          <w:rFonts w:hint="eastAsia" w:ascii="仿宋_GB2312" w:eastAsia="仿宋_GB2312" w:cs="仿宋_GB2312"/>
          <w:color w:val="auto"/>
          <w:sz w:val="32"/>
          <w:szCs w:val="32"/>
        </w:rPr>
        <w:t>结项审批书》中的项目决算表，并附上由项目承担单位财务管理部门打印并盖章的资金收支明细账。项目承担单位应实事求是地填写项目决算表。</w:t>
      </w:r>
      <w:r>
        <w:rPr>
          <w:rFonts w:ascii="仿宋_GB2312" w:eastAsia="仿宋_GB2312" w:cs="仿宋_GB2312"/>
          <w:color w:val="auto"/>
          <w:sz w:val="32"/>
          <w:szCs w:val="32"/>
        </w:rPr>
        <w:t xml:space="preserve"> </w:t>
      </w:r>
    </w:p>
    <w:p>
      <w:pPr>
        <w:spacing w:line="560" w:lineRule="exact"/>
        <w:ind w:firstLine="640" w:firstLineChars="200"/>
        <w:rPr>
          <w:rFonts w:hint="eastAsia" w:ascii="仿宋_GB2312" w:eastAsia="仿宋_GB2312" w:cs="仿宋_GB2312"/>
          <w:color w:val="auto"/>
          <w:sz w:val="32"/>
          <w:szCs w:val="32"/>
        </w:rPr>
      </w:pPr>
      <w:r>
        <w:rPr>
          <w:rFonts w:hint="eastAsia" w:ascii="仿宋_GB2312" w:eastAsia="仿宋_GB2312" w:cs="仿宋_GB2312"/>
          <w:color w:val="auto"/>
          <w:sz w:val="32"/>
          <w:szCs w:val="32"/>
        </w:rPr>
        <w:t>有外拨资金的项目，外拨资金</w:t>
      </w:r>
      <w:r>
        <w:rPr>
          <w:rFonts w:hint="eastAsia" w:ascii="仿宋_GB2312" w:eastAsia="仿宋_GB2312" w:cs="仿宋_GB2312"/>
          <w:color w:val="auto"/>
          <w:sz w:val="32"/>
          <w:szCs w:val="32"/>
          <w:lang w:eastAsia="zh-CN"/>
        </w:rPr>
        <w:t>收支明细账</w:t>
      </w:r>
      <w:r>
        <w:rPr>
          <w:rFonts w:hint="eastAsia" w:ascii="仿宋_GB2312" w:eastAsia="仿宋_GB2312" w:cs="仿宋_GB2312"/>
          <w:color w:val="auto"/>
          <w:sz w:val="32"/>
          <w:szCs w:val="32"/>
        </w:rPr>
        <w:t>经</w:t>
      </w:r>
      <w:r>
        <w:rPr>
          <w:rFonts w:hint="eastAsia" w:ascii="仿宋_GB2312" w:eastAsia="仿宋_GB2312" w:cs="仿宋_GB2312"/>
          <w:color w:val="auto"/>
          <w:sz w:val="32"/>
          <w:szCs w:val="32"/>
          <w:lang w:eastAsia="zh-CN"/>
        </w:rPr>
        <w:t>协</w:t>
      </w:r>
      <w:r>
        <w:rPr>
          <w:rFonts w:hint="eastAsia" w:ascii="仿宋_GB2312" w:eastAsia="仿宋_GB2312" w:cs="仿宋_GB2312"/>
          <w:color w:val="auto"/>
          <w:sz w:val="32"/>
          <w:szCs w:val="32"/>
        </w:rPr>
        <w:t>作单位财务、审计部门审核并签署意见后，由项目负责人汇总编制项目资金决算</w:t>
      </w:r>
      <w:r>
        <w:rPr>
          <w:rFonts w:hint="eastAsia" w:ascii="仿宋_GB2312" w:eastAsia="仿宋_GB2312" w:cs="仿宋_GB2312"/>
          <w:color w:val="auto"/>
          <w:sz w:val="32"/>
          <w:szCs w:val="32"/>
          <w:lang w:eastAsia="zh-CN"/>
        </w:rPr>
        <w:t>表</w:t>
      </w:r>
      <w:r>
        <w:rPr>
          <w:rFonts w:hint="eastAsia" w:ascii="仿宋_GB2312" w:eastAsia="仿宋_GB2312" w:cs="仿宋_GB2312"/>
          <w:color w:val="auto"/>
          <w:sz w:val="32"/>
          <w:szCs w:val="32"/>
        </w:rPr>
        <w:t>。</w:t>
      </w:r>
    </w:p>
    <w:p>
      <w:pPr>
        <w:spacing w:line="560" w:lineRule="exact"/>
        <w:ind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lang w:eastAsia="zh-CN"/>
        </w:rPr>
        <w:t>第十九条</w:t>
      </w:r>
      <w:r>
        <w:rPr>
          <w:rFonts w:hint="eastAsia" w:ascii="仿宋_GB2312" w:eastAsia="仿宋_GB2312" w:cs="仿宋_GB2312"/>
          <w:color w:val="auto"/>
          <w:sz w:val="32"/>
          <w:szCs w:val="32"/>
          <w:lang w:val="en-US" w:eastAsia="zh-CN"/>
        </w:rPr>
        <w:t xml:space="preserve">  </w:t>
      </w:r>
      <w:r>
        <w:rPr>
          <w:rFonts w:hint="eastAsia" w:ascii="仿宋_GB2312" w:eastAsia="仿宋_GB2312" w:cs="仿宋_GB2312"/>
          <w:color w:val="auto"/>
          <w:sz w:val="32"/>
          <w:szCs w:val="32"/>
        </w:rPr>
        <w:t>项目在研期间，年度剩余资金可以结转下一年度继续使用。</w:t>
      </w:r>
      <w:r>
        <w:rPr>
          <w:rFonts w:hint="default" w:ascii="仿宋" w:hAnsi="仿宋" w:eastAsia="仿宋" w:cs="仿宋"/>
          <w:color w:val="auto"/>
          <w:sz w:val="32"/>
          <w:szCs w:val="32"/>
          <w:lang w:val="en-US" w:eastAsia="zh-CN"/>
        </w:rPr>
        <w:t>项目通过结</w:t>
      </w:r>
      <w:r>
        <w:rPr>
          <w:rFonts w:hint="eastAsia" w:ascii="仿宋" w:hAnsi="仿宋" w:eastAsia="仿宋" w:cs="仿宋"/>
          <w:color w:val="auto"/>
          <w:sz w:val="32"/>
          <w:szCs w:val="32"/>
          <w:lang w:val="en-US" w:eastAsia="zh-CN"/>
        </w:rPr>
        <w:t>项</w:t>
      </w:r>
      <w:r>
        <w:rPr>
          <w:rFonts w:hint="default" w:ascii="仿宋" w:hAnsi="仿宋" w:eastAsia="仿宋" w:cs="仿宋"/>
          <w:color w:val="auto"/>
          <w:sz w:val="32"/>
          <w:szCs w:val="32"/>
          <w:lang w:val="en-US" w:eastAsia="zh-CN"/>
        </w:rPr>
        <w:t>验收并且项目</w:t>
      </w:r>
      <w:r>
        <w:rPr>
          <w:rFonts w:hint="eastAsia" w:ascii="仿宋" w:hAnsi="仿宋" w:eastAsia="仿宋" w:cs="仿宋"/>
          <w:color w:val="auto"/>
          <w:sz w:val="32"/>
          <w:szCs w:val="32"/>
          <w:lang w:val="en-US" w:eastAsia="zh-CN"/>
        </w:rPr>
        <w:t>承担</w:t>
      </w:r>
      <w:r>
        <w:rPr>
          <w:rFonts w:hint="default" w:ascii="仿宋" w:hAnsi="仿宋" w:eastAsia="仿宋" w:cs="仿宋"/>
          <w:color w:val="auto"/>
          <w:sz w:val="32"/>
          <w:szCs w:val="32"/>
          <w:lang w:val="en-US" w:eastAsia="zh-CN"/>
        </w:rPr>
        <w:t>单位信用良好的，在保证项目后续研究或成果出版的前提下，结余资金可由项目</w:t>
      </w:r>
      <w:r>
        <w:rPr>
          <w:rFonts w:hint="eastAsia" w:ascii="仿宋" w:hAnsi="仿宋" w:eastAsia="仿宋" w:cs="仿宋"/>
          <w:color w:val="auto"/>
          <w:sz w:val="32"/>
          <w:szCs w:val="32"/>
          <w:lang w:val="en-US" w:eastAsia="zh-CN"/>
        </w:rPr>
        <w:t>承担</w:t>
      </w:r>
      <w:r>
        <w:rPr>
          <w:rFonts w:hint="default" w:ascii="仿宋" w:hAnsi="仿宋" w:eastAsia="仿宋" w:cs="仿宋"/>
          <w:color w:val="auto"/>
          <w:sz w:val="32"/>
          <w:szCs w:val="32"/>
          <w:lang w:val="en-US" w:eastAsia="zh-CN"/>
        </w:rPr>
        <w:t>单位统筹安排，用于科研的直</w:t>
      </w:r>
      <w:bookmarkStart w:id="0" w:name="_GoBack"/>
      <w:bookmarkEnd w:id="0"/>
      <w:r>
        <w:rPr>
          <w:rFonts w:hint="default" w:ascii="仿宋" w:hAnsi="仿宋" w:eastAsia="仿宋" w:cs="仿宋"/>
          <w:color w:val="auto"/>
          <w:sz w:val="32"/>
          <w:szCs w:val="32"/>
          <w:lang w:val="en-US" w:eastAsia="zh-CN"/>
        </w:rPr>
        <w:t>接支出。若2年后（自</w:t>
      </w:r>
      <w:r>
        <w:rPr>
          <w:rFonts w:hint="eastAsia" w:ascii="仿宋" w:hAnsi="仿宋" w:eastAsia="仿宋" w:cs="仿宋"/>
          <w:color w:val="auto"/>
          <w:sz w:val="32"/>
          <w:szCs w:val="32"/>
          <w:lang w:val="en-US" w:eastAsia="zh-CN"/>
        </w:rPr>
        <w:t>项目</w:t>
      </w:r>
      <w:r>
        <w:rPr>
          <w:rFonts w:hint="default" w:ascii="仿宋" w:hAnsi="仿宋" w:eastAsia="仿宋" w:cs="仿宋"/>
          <w:color w:val="auto"/>
          <w:sz w:val="32"/>
          <w:szCs w:val="32"/>
          <w:lang w:val="en-US" w:eastAsia="zh-CN"/>
        </w:rPr>
        <w:t>结项</w:t>
      </w:r>
      <w:r>
        <w:rPr>
          <w:rFonts w:hint="eastAsia" w:ascii="仿宋" w:hAnsi="仿宋" w:eastAsia="仿宋" w:cs="仿宋"/>
          <w:color w:val="auto"/>
          <w:sz w:val="32"/>
          <w:szCs w:val="32"/>
          <w:lang w:val="en-US" w:eastAsia="zh-CN"/>
        </w:rPr>
        <w:t>证书</w:t>
      </w:r>
      <w:r>
        <w:rPr>
          <w:rFonts w:hint="default" w:ascii="仿宋" w:hAnsi="仿宋" w:eastAsia="仿宋" w:cs="仿宋"/>
          <w:color w:val="auto"/>
          <w:sz w:val="32"/>
          <w:szCs w:val="32"/>
          <w:lang w:val="en-US" w:eastAsia="zh-CN"/>
        </w:rPr>
        <w:t>下达后次年的1月1日起计算）结余资金仍有剩余的，应当按原渠道退回</w:t>
      </w:r>
      <w:r>
        <w:rPr>
          <w:rFonts w:hint="eastAsia" w:ascii="仿宋" w:hAnsi="仿宋" w:eastAsia="仿宋" w:cs="仿宋"/>
          <w:color w:val="auto"/>
          <w:sz w:val="32"/>
          <w:szCs w:val="32"/>
          <w:lang w:val="en-US" w:eastAsia="zh-CN"/>
        </w:rPr>
        <w:t>市社科联、市社科规划办，并上交市财政局</w:t>
      </w:r>
      <w:r>
        <w:rPr>
          <w:rFonts w:hint="default" w:ascii="仿宋" w:hAnsi="仿宋" w:eastAsia="仿宋" w:cs="仿宋"/>
          <w:color w:val="auto"/>
          <w:sz w:val="32"/>
          <w:szCs w:val="32"/>
          <w:lang w:val="en-US" w:eastAsia="zh-CN"/>
        </w:rPr>
        <w:t>。</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第二十条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对于被终止项目</w:t>
      </w:r>
      <w:r>
        <w:rPr>
          <w:rFonts w:hint="eastAsia" w:ascii="仿宋_GB2312" w:eastAsia="仿宋_GB2312" w:cs="仿宋_GB2312"/>
          <w:color w:val="auto"/>
          <w:sz w:val="32"/>
          <w:szCs w:val="32"/>
          <w:lang w:eastAsia="zh-CN"/>
        </w:rPr>
        <w:t>的</w:t>
      </w:r>
      <w:r>
        <w:rPr>
          <w:rFonts w:hint="eastAsia" w:ascii="仿宋_GB2312" w:eastAsia="仿宋_GB2312" w:cs="仿宋_GB2312"/>
          <w:color w:val="auto"/>
          <w:sz w:val="32"/>
          <w:szCs w:val="32"/>
        </w:rPr>
        <w:t>结余资金，以及被撤销项目</w:t>
      </w:r>
      <w:r>
        <w:rPr>
          <w:rFonts w:hint="eastAsia" w:ascii="仿宋_GB2312" w:eastAsia="仿宋_GB2312" w:cs="仿宋_GB2312"/>
          <w:color w:val="auto"/>
          <w:sz w:val="32"/>
          <w:szCs w:val="32"/>
          <w:lang w:eastAsia="zh-CN"/>
        </w:rPr>
        <w:t>的</w:t>
      </w:r>
      <w:r>
        <w:rPr>
          <w:rFonts w:hint="eastAsia" w:ascii="仿宋_GB2312" w:eastAsia="仿宋_GB2312" w:cs="仿宋_GB2312"/>
          <w:color w:val="auto"/>
          <w:sz w:val="32"/>
          <w:szCs w:val="32"/>
        </w:rPr>
        <w:t>已拨资金，</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承担单位应当在接到有关通知后</w:t>
      </w:r>
      <w:r>
        <w:rPr>
          <w:rFonts w:ascii="仿宋_GB2312" w:eastAsia="仿宋_GB2312" w:cs="仿宋_GB2312"/>
          <w:color w:val="auto"/>
          <w:sz w:val="32"/>
          <w:szCs w:val="32"/>
        </w:rPr>
        <w:t>30</w:t>
      </w:r>
      <w:r>
        <w:rPr>
          <w:rFonts w:hint="eastAsia" w:ascii="仿宋_GB2312" w:eastAsia="仿宋_GB2312" w:cs="仿宋_GB2312"/>
          <w:color w:val="auto"/>
          <w:sz w:val="32"/>
          <w:szCs w:val="32"/>
        </w:rPr>
        <w:t>日内</w:t>
      </w:r>
      <w:r>
        <w:rPr>
          <w:rFonts w:hint="eastAsia" w:ascii="仿宋_GB2312" w:eastAsia="仿宋_GB2312" w:cs="仿宋_GB2312"/>
          <w:color w:val="auto"/>
          <w:sz w:val="32"/>
          <w:szCs w:val="32"/>
          <w:lang w:eastAsia="zh-CN"/>
        </w:rPr>
        <w:t>，将资金</w:t>
      </w:r>
      <w:r>
        <w:rPr>
          <w:rFonts w:hint="eastAsia" w:ascii="仿宋_GB2312" w:eastAsia="仿宋_GB2312" w:cs="仿宋_GB2312"/>
          <w:color w:val="auto"/>
          <w:sz w:val="32"/>
          <w:szCs w:val="32"/>
        </w:rPr>
        <w:t>按原渠道退回。</w:t>
      </w:r>
    </w:p>
    <w:p>
      <w:pPr>
        <w:spacing w:line="560" w:lineRule="exact"/>
        <w:rPr>
          <w:rFonts w:ascii="仿宋_GB2312" w:eastAsia="仿宋_GB2312"/>
          <w:color w:val="auto"/>
          <w:sz w:val="32"/>
          <w:szCs w:val="32"/>
        </w:rPr>
      </w:pPr>
    </w:p>
    <w:p>
      <w:pPr>
        <w:numPr>
          <w:ilvl w:val="0"/>
          <w:numId w:val="4"/>
        </w:numPr>
        <w:spacing w:line="560" w:lineRule="exact"/>
        <w:jc w:val="center"/>
        <w:outlineLvl w:val="0"/>
        <w:rPr>
          <w:rFonts w:hint="eastAsia" w:ascii="黑体" w:eastAsia="黑体" w:cs="黑体"/>
          <w:color w:val="auto"/>
          <w:sz w:val="32"/>
          <w:szCs w:val="32"/>
        </w:rPr>
      </w:pPr>
      <w:r>
        <w:rPr>
          <w:rFonts w:ascii="黑体" w:eastAsia="黑体" w:cs="黑体"/>
          <w:color w:val="auto"/>
          <w:sz w:val="32"/>
          <w:szCs w:val="32"/>
        </w:rPr>
        <w:t xml:space="preserve"> </w:t>
      </w:r>
      <w:r>
        <w:rPr>
          <w:rFonts w:hint="eastAsia" w:ascii="黑体" w:eastAsia="黑体" w:cs="黑体"/>
          <w:color w:val="auto"/>
          <w:sz w:val="32"/>
          <w:szCs w:val="32"/>
        </w:rPr>
        <w:t>资金</w:t>
      </w:r>
      <w:r>
        <w:rPr>
          <w:rFonts w:hint="eastAsia" w:ascii="黑体" w:eastAsia="黑体" w:cs="黑体"/>
          <w:color w:val="auto"/>
          <w:sz w:val="32"/>
          <w:szCs w:val="32"/>
          <w:lang w:eastAsia="zh-CN"/>
        </w:rPr>
        <w:t>使用</w:t>
      </w:r>
      <w:r>
        <w:rPr>
          <w:rFonts w:hint="eastAsia" w:ascii="黑体" w:eastAsia="黑体" w:cs="黑体"/>
          <w:color w:val="auto"/>
          <w:sz w:val="32"/>
          <w:szCs w:val="32"/>
        </w:rPr>
        <w:t>与监督</w:t>
      </w:r>
    </w:p>
    <w:p>
      <w:pPr>
        <w:numPr>
          <w:numId w:val="0"/>
        </w:numPr>
        <w:spacing w:line="560" w:lineRule="exact"/>
        <w:jc w:val="both"/>
        <w:outlineLvl w:val="0"/>
        <w:rPr>
          <w:rFonts w:hint="eastAsia" w:ascii="黑体" w:eastAsia="黑体" w:cs="黑体"/>
          <w:color w:val="auto"/>
          <w:sz w:val="32"/>
          <w:szCs w:val="32"/>
        </w:rPr>
      </w:pP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第二十一条</w:t>
      </w:r>
      <w:r>
        <w:rPr>
          <w:rFonts w:ascii="仿宋_GB2312" w:eastAsia="仿宋_GB2312" w:cs="仿宋_GB2312"/>
          <w:b/>
          <w:bCs/>
          <w:color w:val="auto"/>
          <w:sz w:val="32"/>
          <w:szCs w:val="32"/>
        </w:rPr>
        <w:t xml:space="preserve">  </w:t>
      </w:r>
      <w:r>
        <w:rPr>
          <w:rFonts w:hint="eastAsia" w:ascii="仿宋_GB2312" w:eastAsia="仿宋_GB2312" w:cs="仿宋_GB2312"/>
          <w:color w:val="auto"/>
          <w:sz w:val="32"/>
          <w:szCs w:val="32"/>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项目负责人使用项目资金情况应当自觉接受有关部门的监督检查。</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第二十二条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项目承担单位应当制定项目资金内部管理办法，明确审批程序、管理要求</w:t>
      </w:r>
      <w:r>
        <w:rPr>
          <w:rFonts w:hint="eastAsia" w:ascii="仿宋_GB2312" w:eastAsia="仿宋_GB2312" w:cs="仿宋_GB2312"/>
          <w:color w:val="auto"/>
          <w:sz w:val="32"/>
          <w:szCs w:val="32"/>
          <w:lang w:eastAsia="zh-CN"/>
        </w:rPr>
        <w:t>、开支标准</w:t>
      </w:r>
      <w:r>
        <w:rPr>
          <w:rFonts w:hint="eastAsia" w:ascii="仿宋_GB2312" w:eastAsia="仿宋_GB2312" w:cs="仿宋_GB2312"/>
          <w:color w:val="auto"/>
          <w:sz w:val="32"/>
          <w:szCs w:val="32"/>
        </w:rPr>
        <w:t>和报销规定，落实项目预算调剂、间接费用统筹使用、劳务费分配管理、</w:t>
      </w:r>
      <w:r>
        <w:rPr>
          <w:rFonts w:hint="eastAsia" w:ascii="仿宋_GB2312" w:eastAsia="仿宋_GB2312" w:cs="仿宋_GB2312"/>
          <w:color w:val="auto"/>
          <w:sz w:val="32"/>
          <w:szCs w:val="32"/>
          <w:lang w:eastAsia="zh-CN"/>
        </w:rPr>
        <w:t>专家咨询费管理、</w:t>
      </w:r>
      <w:r>
        <w:rPr>
          <w:rFonts w:hint="eastAsia" w:ascii="仿宋_GB2312" w:eastAsia="仿宋_GB2312" w:cs="仿宋_GB2312"/>
          <w:color w:val="auto"/>
          <w:sz w:val="32"/>
          <w:szCs w:val="32"/>
        </w:rPr>
        <w:t>结余资金使用等管理权限</w:t>
      </w:r>
      <w:r>
        <w:rPr>
          <w:rFonts w:hint="eastAsia" w:ascii="仿宋_GB2312" w:eastAsia="仿宋_GB2312" w:cs="仿宋_GB2312"/>
          <w:color w:val="auto"/>
          <w:sz w:val="32"/>
          <w:szCs w:val="32"/>
          <w:lang w:eastAsia="zh-CN"/>
        </w:rPr>
        <w:t>，并将单位项目资金内部管理办法报市社科联、市社科规划办备案，作为项目预算审核和收支明细账审核的重要依据</w:t>
      </w:r>
      <w:r>
        <w:rPr>
          <w:rFonts w:hint="eastAsia" w:ascii="仿宋_GB2312" w:eastAsia="仿宋_GB2312" w:cs="仿宋_GB2312"/>
          <w:color w:val="auto"/>
          <w:sz w:val="32"/>
          <w:szCs w:val="32"/>
        </w:rPr>
        <w:t>。</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项目承担单位应当加强项目</w:t>
      </w:r>
      <w:r>
        <w:rPr>
          <w:rFonts w:hint="eastAsia" w:ascii="仿宋_GB2312" w:eastAsia="仿宋_GB2312" w:cs="仿宋_GB2312"/>
          <w:color w:val="auto"/>
          <w:sz w:val="32"/>
          <w:szCs w:val="32"/>
          <w:lang w:eastAsia="zh-CN"/>
        </w:rPr>
        <w:t>资金</w:t>
      </w:r>
      <w:r>
        <w:rPr>
          <w:rFonts w:hint="eastAsia" w:ascii="仿宋_GB2312" w:eastAsia="仿宋_GB2312" w:cs="仿宋_GB2312"/>
          <w:color w:val="auto"/>
          <w:sz w:val="32"/>
          <w:szCs w:val="32"/>
        </w:rPr>
        <w:t>预算审核把关，规范财务支出行为，完善内部风险防控机制，强化资金使用绩效评价，保障资金使用安全规范有效。项目承担单位项目资金管理和使用情况，要自觉接受财政、审计、监察部门和</w:t>
      </w:r>
      <w:r>
        <w:rPr>
          <w:rFonts w:hint="eastAsia" w:ascii="仿宋_GB2312" w:eastAsia="仿宋_GB2312" w:cs="仿宋_GB2312"/>
          <w:color w:val="auto"/>
          <w:sz w:val="32"/>
          <w:szCs w:val="32"/>
          <w:lang w:eastAsia="zh-CN"/>
        </w:rPr>
        <w:t>市社科联、</w:t>
      </w:r>
      <w:r>
        <w:rPr>
          <w:rFonts w:hint="eastAsia" w:ascii="仿宋_GB2312" w:eastAsia="仿宋_GB2312" w:cs="仿宋_GB2312"/>
          <w:color w:val="auto"/>
          <w:sz w:val="32"/>
          <w:szCs w:val="32"/>
        </w:rPr>
        <w:t>市社科规划办的监督检查。承担单位应当积极配合，如实反映情况，提供有关资料。</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项目承担单位应当建立健全科研财务助理制度，为科研人员在项目</w:t>
      </w:r>
      <w:r>
        <w:rPr>
          <w:rFonts w:hint="eastAsia" w:ascii="仿宋_GB2312" w:eastAsia="仿宋_GB2312" w:cs="仿宋_GB2312"/>
          <w:color w:val="auto"/>
          <w:sz w:val="32"/>
          <w:szCs w:val="32"/>
          <w:lang w:eastAsia="zh-CN"/>
        </w:rPr>
        <w:t>资金</w:t>
      </w:r>
      <w:r>
        <w:rPr>
          <w:rFonts w:hint="eastAsia" w:ascii="仿宋_GB2312" w:eastAsia="仿宋_GB2312" w:cs="仿宋_GB2312"/>
          <w:color w:val="auto"/>
          <w:sz w:val="32"/>
          <w:szCs w:val="32"/>
        </w:rPr>
        <w:t>预算编制</w:t>
      </w:r>
      <w:r>
        <w:rPr>
          <w:rFonts w:hint="eastAsia" w:ascii="仿宋_GB2312" w:eastAsia="仿宋_GB2312" w:cs="仿宋_GB2312"/>
          <w:color w:val="auto"/>
          <w:sz w:val="32"/>
          <w:szCs w:val="32"/>
          <w:lang w:eastAsia="zh-CN"/>
        </w:rPr>
        <w:t>和</w:t>
      </w:r>
      <w:r>
        <w:rPr>
          <w:rFonts w:hint="eastAsia" w:ascii="仿宋_GB2312" w:eastAsia="仿宋_GB2312" w:cs="仿宋_GB2312"/>
          <w:color w:val="auto"/>
          <w:sz w:val="32"/>
          <w:szCs w:val="32"/>
        </w:rPr>
        <w:t>调剂、</w:t>
      </w:r>
      <w:r>
        <w:rPr>
          <w:rFonts w:hint="eastAsia" w:ascii="仿宋_GB2312" w:eastAsia="仿宋_GB2312" w:cs="仿宋_GB2312"/>
          <w:color w:val="auto"/>
          <w:sz w:val="32"/>
          <w:szCs w:val="32"/>
          <w:lang w:eastAsia="zh-CN"/>
        </w:rPr>
        <w:t>项目资金</w:t>
      </w:r>
      <w:r>
        <w:rPr>
          <w:rFonts w:hint="eastAsia" w:ascii="仿宋_GB2312" w:eastAsia="仿宋_GB2312" w:cs="仿宋_GB2312"/>
          <w:color w:val="auto"/>
          <w:sz w:val="32"/>
          <w:szCs w:val="32"/>
        </w:rPr>
        <w:t>支出</w:t>
      </w:r>
      <w:r>
        <w:rPr>
          <w:rFonts w:hint="eastAsia" w:ascii="仿宋_GB2312" w:eastAsia="仿宋_GB2312" w:cs="仿宋_GB2312"/>
          <w:color w:val="auto"/>
          <w:sz w:val="32"/>
          <w:szCs w:val="32"/>
          <w:lang w:eastAsia="zh-CN"/>
        </w:rPr>
        <w:t>和</w:t>
      </w:r>
      <w:r>
        <w:rPr>
          <w:rFonts w:hint="eastAsia" w:ascii="仿宋_GB2312" w:eastAsia="仿宋_GB2312" w:cs="仿宋_GB2312"/>
          <w:color w:val="auto"/>
          <w:sz w:val="32"/>
          <w:szCs w:val="32"/>
        </w:rPr>
        <w:t>决算</w:t>
      </w:r>
      <w:r>
        <w:rPr>
          <w:rFonts w:hint="eastAsia" w:ascii="仿宋_GB2312" w:eastAsia="仿宋_GB2312" w:cs="仿宋_GB2312"/>
          <w:color w:val="auto"/>
          <w:sz w:val="32"/>
          <w:szCs w:val="32"/>
          <w:lang w:eastAsia="zh-CN"/>
        </w:rPr>
        <w:t>验收</w:t>
      </w:r>
      <w:r>
        <w:rPr>
          <w:rFonts w:hint="eastAsia" w:ascii="仿宋_GB2312" w:eastAsia="仿宋_GB2312" w:cs="仿宋_GB2312"/>
          <w:color w:val="auto"/>
          <w:sz w:val="32"/>
          <w:szCs w:val="32"/>
        </w:rPr>
        <w:t>等方面提供专业化服务。</w:t>
      </w:r>
    </w:p>
    <w:p>
      <w:pPr>
        <w:spacing w:line="56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项目承担单位应当充分利用信息化</w:t>
      </w:r>
      <w:r>
        <w:rPr>
          <w:rFonts w:hint="eastAsia" w:ascii="仿宋_GB2312" w:eastAsia="仿宋_GB2312" w:cs="仿宋_GB2312"/>
          <w:color w:val="auto"/>
          <w:sz w:val="32"/>
          <w:szCs w:val="32"/>
          <w:lang w:eastAsia="zh-CN"/>
        </w:rPr>
        <w:t>管理</w:t>
      </w:r>
      <w:r>
        <w:rPr>
          <w:rFonts w:hint="eastAsia" w:ascii="仿宋_GB2312" w:eastAsia="仿宋_GB2312" w:cs="仿宋_GB2312"/>
          <w:color w:val="auto"/>
          <w:sz w:val="32"/>
          <w:szCs w:val="32"/>
        </w:rPr>
        <w:t>手段，建立健全单位内部科研、财务、项目负责人共享的信息平台，提高科研管理效率和便利化程度。</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第二十三条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建立项目资金使用和管理的承诺机制。</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承担单位应当承诺依法依规履行项目资金管理的职责，项目负责人应当承诺提供真实的项目信息并认真遵守项目资金管理的有关规定。</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第二十</w:t>
      </w:r>
      <w:r>
        <w:rPr>
          <w:rFonts w:hint="eastAsia" w:ascii="仿宋_GB2312" w:eastAsia="仿宋_GB2312" w:cs="仿宋_GB2312"/>
          <w:b/>
          <w:bCs/>
          <w:color w:val="auto"/>
          <w:sz w:val="32"/>
          <w:szCs w:val="32"/>
          <w:lang w:eastAsia="zh-CN"/>
        </w:rPr>
        <w:t>四</w:t>
      </w:r>
      <w:r>
        <w:rPr>
          <w:rFonts w:hint="eastAsia" w:ascii="仿宋_GB2312" w:eastAsia="仿宋_GB2312" w:cs="仿宋_GB2312"/>
          <w:b/>
          <w:bCs/>
          <w:color w:val="auto"/>
          <w:sz w:val="32"/>
          <w:szCs w:val="32"/>
        </w:rPr>
        <w:t>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建立项目资金使用和管理的信用机制。</w:t>
      </w:r>
      <w:r>
        <w:rPr>
          <w:rFonts w:hint="eastAsia" w:ascii="仿宋_GB2312" w:eastAsia="仿宋_GB2312" w:cs="仿宋_GB2312"/>
          <w:color w:val="auto"/>
          <w:sz w:val="32"/>
          <w:szCs w:val="32"/>
          <w:lang w:eastAsia="zh-CN"/>
        </w:rPr>
        <w:t>市社科联、</w:t>
      </w:r>
      <w:r>
        <w:rPr>
          <w:rFonts w:hint="eastAsia" w:ascii="仿宋_GB2312" w:eastAsia="仿宋_GB2312" w:cs="仿宋_GB2312"/>
          <w:color w:val="auto"/>
          <w:sz w:val="32"/>
          <w:szCs w:val="32"/>
        </w:rPr>
        <w:t>市社科规划办对项目承担单位和项目负责人在项目资金使用和管理方面的信誉度进行评价和记录，作为对</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承担单位信用评级和对项目负责人绩效考评以及今后资助的重要依据。</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第二十</w:t>
      </w:r>
      <w:r>
        <w:rPr>
          <w:rFonts w:hint="eastAsia" w:ascii="仿宋_GB2312" w:eastAsia="仿宋_GB2312" w:cs="仿宋_GB2312"/>
          <w:b/>
          <w:bCs/>
          <w:color w:val="auto"/>
          <w:sz w:val="32"/>
          <w:szCs w:val="32"/>
          <w:lang w:eastAsia="zh-CN"/>
        </w:rPr>
        <w:t>五</w:t>
      </w:r>
      <w:r>
        <w:rPr>
          <w:rFonts w:hint="eastAsia" w:ascii="仿宋_GB2312" w:eastAsia="仿宋_GB2312" w:cs="仿宋_GB2312"/>
          <w:b/>
          <w:bCs/>
          <w:color w:val="auto"/>
          <w:sz w:val="32"/>
          <w:szCs w:val="32"/>
        </w:rPr>
        <w:t>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建立项目资金使用和管理的信息公开机制。</w:t>
      </w:r>
      <w:r>
        <w:rPr>
          <w:rFonts w:hint="eastAsia" w:ascii="仿宋_GB2312" w:eastAsia="仿宋_GB2312" w:cs="仿宋_GB2312"/>
          <w:color w:val="auto"/>
          <w:sz w:val="32"/>
          <w:szCs w:val="32"/>
          <w:lang w:eastAsia="zh-CN"/>
        </w:rPr>
        <w:t>项目</w:t>
      </w:r>
      <w:r>
        <w:rPr>
          <w:rFonts w:hint="eastAsia" w:ascii="仿宋_GB2312" w:eastAsia="仿宋_GB2312" w:cs="仿宋_GB2312"/>
          <w:color w:val="auto"/>
          <w:sz w:val="32"/>
          <w:szCs w:val="32"/>
        </w:rPr>
        <w:t>承担单位和项目负责人应当在单位内部公开项目</w:t>
      </w:r>
      <w:r>
        <w:rPr>
          <w:rFonts w:hint="eastAsia" w:ascii="仿宋_GB2312" w:eastAsia="仿宋_GB2312" w:cs="仿宋_GB2312"/>
          <w:color w:val="auto"/>
          <w:sz w:val="32"/>
          <w:szCs w:val="32"/>
          <w:lang w:eastAsia="zh-CN"/>
        </w:rPr>
        <w:t>资金</w:t>
      </w:r>
      <w:r>
        <w:rPr>
          <w:rFonts w:hint="eastAsia" w:ascii="仿宋_GB2312" w:eastAsia="仿宋_GB2312" w:cs="仿宋_GB2312"/>
          <w:color w:val="auto"/>
          <w:sz w:val="32"/>
          <w:szCs w:val="32"/>
        </w:rPr>
        <w:t>预算、预算调剂、决算、项目组人员构成、设备购置、外拨资金、劳务费发放以及间接费用和结余资金使用等情况，自觉接受监督。</w:t>
      </w:r>
    </w:p>
    <w:p>
      <w:pPr>
        <w:spacing w:line="560" w:lineRule="exact"/>
        <w:ind w:firstLine="643" w:firstLineChars="200"/>
        <w:rPr>
          <w:rFonts w:ascii="仿宋_GB2312" w:eastAsia="仿宋_GB2312"/>
          <w:color w:val="auto"/>
          <w:sz w:val="32"/>
          <w:szCs w:val="32"/>
        </w:rPr>
      </w:pPr>
      <w:r>
        <w:rPr>
          <w:rFonts w:hint="eastAsia" w:ascii="仿宋_GB2312" w:eastAsia="仿宋_GB2312" w:cs="仿宋_GB2312"/>
          <w:b/>
          <w:bCs/>
          <w:color w:val="auto"/>
          <w:sz w:val="32"/>
          <w:szCs w:val="32"/>
        </w:rPr>
        <w:t>第二十</w:t>
      </w:r>
      <w:r>
        <w:rPr>
          <w:rFonts w:hint="eastAsia" w:ascii="仿宋_GB2312" w:eastAsia="仿宋_GB2312" w:cs="仿宋_GB2312"/>
          <w:b/>
          <w:bCs/>
          <w:color w:val="auto"/>
          <w:sz w:val="32"/>
          <w:szCs w:val="32"/>
          <w:lang w:eastAsia="zh-CN"/>
        </w:rPr>
        <w:t>六</w:t>
      </w:r>
      <w:r>
        <w:rPr>
          <w:rFonts w:hint="eastAsia" w:ascii="仿宋_GB2312" w:eastAsia="仿宋_GB2312" w:cs="仿宋_GB2312"/>
          <w:b/>
          <w:bCs/>
          <w:color w:val="auto"/>
          <w:sz w:val="32"/>
          <w:szCs w:val="32"/>
        </w:rPr>
        <w:t>条</w:t>
      </w:r>
      <w:r>
        <w:rPr>
          <w:rFonts w:ascii="仿宋_GB2312" w:eastAsia="仿宋_GB2312" w:cs="仿宋_GB2312"/>
          <w:color w:val="auto"/>
          <w:sz w:val="32"/>
          <w:szCs w:val="32"/>
        </w:rPr>
        <w:t xml:space="preserve">  </w:t>
      </w:r>
      <w:r>
        <w:rPr>
          <w:rFonts w:hint="eastAsia" w:ascii="仿宋_GB2312" w:eastAsia="仿宋_GB2312" w:cs="仿宋_GB2312"/>
          <w:color w:val="auto"/>
          <w:sz w:val="32"/>
          <w:szCs w:val="32"/>
        </w:rPr>
        <w:t>对有虚报、冒领、截留、挪用、滞留财政资金等违法行为的，依照《财政违法行为处罚处分条例》（国务院令第427号）等有关规定进行处理处罚。</w:t>
      </w:r>
    </w:p>
    <w:p>
      <w:pPr>
        <w:spacing w:line="560" w:lineRule="exact"/>
        <w:rPr>
          <w:rFonts w:ascii="仿宋_GB2312" w:eastAsia="仿宋_GB2312"/>
          <w:color w:val="auto"/>
          <w:sz w:val="32"/>
          <w:szCs w:val="32"/>
        </w:rPr>
      </w:pPr>
    </w:p>
    <w:p>
      <w:pPr>
        <w:numPr>
          <w:ilvl w:val="0"/>
          <w:numId w:val="5"/>
        </w:numPr>
        <w:spacing w:line="560" w:lineRule="exact"/>
        <w:jc w:val="center"/>
        <w:outlineLvl w:val="0"/>
        <w:rPr>
          <w:rFonts w:hint="eastAsia" w:ascii="黑体" w:eastAsia="黑体" w:cs="黑体"/>
          <w:color w:val="auto"/>
          <w:sz w:val="32"/>
          <w:szCs w:val="32"/>
        </w:rPr>
      </w:pPr>
      <w:r>
        <w:rPr>
          <w:rFonts w:hint="eastAsia" w:ascii="黑体" w:eastAsia="黑体" w:cs="黑体"/>
          <w:color w:val="auto"/>
          <w:sz w:val="32"/>
          <w:szCs w:val="32"/>
          <w:lang w:val="en-US" w:eastAsia="zh-CN"/>
        </w:rPr>
        <w:t xml:space="preserve">  </w:t>
      </w:r>
      <w:r>
        <w:rPr>
          <w:rFonts w:hint="eastAsia" w:ascii="黑体" w:eastAsia="黑体" w:cs="黑体"/>
          <w:color w:val="auto"/>
          <w:sz w:val="32"/>
          <w:szCs w:val="32"/>
        </w:rPr>
        <w:t>附</w:t>
      </w:r>
      <w:r>
        <w:rPr>
          <w:rFonts w:ascii="黑体" w:eastAsia="黑体" w:cs="黑体"/>
          <w:color w:val="auto"/>
          <w:sz w:val="32"/>
          <w:szCs w:val="32"/>
        </w:rPr>
        <w:t xml:space="preserve">  </w:t>
      </w:r>
      <w:r>
        <w:rPr>
          <w:rFonts w:hint="eastAsia" w:ascii="黑体" w:eastAsia="黑体" w:cs="黑体"/>
          <w:color w:val="auto"/>
          <w:sz w:val="32"/>
          <w:szCs w:val="32"/>
        </w:rPr>
        <w:t>则</w:t>
      </w:r>
    </w:p>
    <w:p>
      <w:pPr>
        <w:numPr>
          <w:numId w:val="0"/>
        </w:numPr>
        <w:spacing w:line="560" w:lineRule="exact"/>
        <w:jc w:val="both"/>
        <w:outlineLvl w:val="0"/>
        <w:rPr>
          <w:rFonts w:hint="eastAsia" w:ascii="黑体" w:eastAsia="黑体" w:cs="黑体"/>
          <w:color w:val="auto"/>
          <w:sz w:val="32"/>
          <w:szCs w:val="32"/>
        </w:rPr>
      </w:pPr>
    </w:p>
    <w:p>
      <w:pPr>
        <w:spacing w:line="560" w:lineRule="exact"/>
        <w:ind w:firstLine="643" w:firstLineChars="200"/>
        <w:rPr>
          <w:rFonts w:hint="eastAsia" w:ascii="仿宋_GB2312" w:hAnsi="仿宋" w:eastAsia="仿宋_GB2312" w:cs="仿宋_GB2312"/>
          <w:color w:val="auto"/>
          <w:kern w:val="0"/>
          <w:sz w:val="32"/>
          <w:szCs w:val="32"/>
        </w:rPr>
      </w:pPr>
      <w:r>
        <w:rPr>
          <w:rFonts w:hint="eastAsia" w:ascii="仿宋_GB2312" w:eastAsia="仿宋_GB2312" w:cs="仿宋_GB2312"/>
          <w:b/>
          <w:bCs/>
          <w:color w:val="auto"/>
          <w:sz w:val="32"/>
          <w:szCs w:val="32"/>
        </w:rPr>
        <w:t>第二十</w:t>
      </w:r>
      <w:r>
        <w:rPr>
          <w:rFonts w:hint="eastAsia" w:ascii="仿宋_GB2312" w:eastAsia="仿宋_GB2312" w:cs="仿宋_GB2312"/>
          <w:b/>
          <w:bCs/>
          <w:color w:val="auto"/>
          <w:sz w:val="32"/>
          <w:szCs w:val="32"/>
          <w:lang w:eastAsia="zh-CN"/>
        </w:rPr>
        <w:t>七</w:t>
      </w:r>
      <w:r>
        <w:rPr>
          <w:rFonts w:hint="eastAsia" w:ascii="仿宋_GB2312" w:eastAsia="仿宋_GB2312" w:cs="仿宋_GB2312"/>
          <w:b/>
          <w:bCs/>
          <w:color w:val="auto"/>
          <w:sz w:val="32"/>
          <w:szCs w:val="32"/>
        </w:rPr>
        <w:t xml:space="preserve">条 </w:t>
      </w:r>
      <w:r>
        <w:rPr>
          <w:rFonts w:hint="eastAsia" w:ascii="仿宋_GB2312" w:eastAsia="仿宋_GB2312" w:cs="仿宋_GB2312"/>
          <w:b/>
          <w:bCs/>
          <w:color w:val="auto"/>
          <w:sz w:val="32"/>
          <w:szCs w:val="32"/>
          <w:lang w:val="en-US" w:eastAsia="zh-CN"/>
        </w:rPr>
        <w:t xml:space="preserve"> </w:t>
      </w:r>
      <w:r>
        <w:rPr>
          <w:rFonts w:hint="eastAsia" w:ascii="仿宋_GB2312" w:eastAsia="仿宋_GB2312" w:cs="仿宋_GB2312"/>
          <w:color w:val="auto"/>
          <w:sz w:val="32"/>
          <w:szCs w:val="32"/>
          <w:lang w:val="zh-CN"/>
        </w:rPr>
        <w:t>本办法自发布之日起施行。</w:t>
      </w:r>
      <w:r>
        <w:rPr>
          <w:rFonts w:hint="eastAsia" w:ascii="仿宋_GB2312" w:hAnsi="仿宋" w:eastAsia="仿宋_GB2312" w:cs="仿宋_GB2312"/>
          <w:color w:val="auto"/>
          <w:kern w:val="0"/>
          <w:sz w:val="32"/>
          <w:szCs w:val="32"/>
        </w:rPr>
        <w:t>原《北京市社会科学基金项目</w:t>
      </w:r>
      <w:r>
        <w:rPr>
          <w:rFonts w:hint="eastAsia" w:ascii="仿宋_GB2312" w:hAnsi="仿宋" w:eastAsia="仿宋_GB2312" w:cs="仿宋_GB2312"/>
          <w:color w:val="auto"/>
          <w:kern w:val="0"/>
          <w:sz w:val="32"/>
          <w:szCs w:val="32"/>
          <w:lang w:eastAsia="zh-CN"/>
        </w:rPr>
        <w:t>资金</w:t>
      </w:r>
      <w:r>
        <w:rPr>
          <w:rFonts w:hint="eastAsia" w:ascii="仿宋_GB2312" w:hAnsi="仿宋" w:eastAsia="仿宋_GB2312" w:cs="仿宋_GB2312"/>
          <w:color w:val="auto"/>
          <w:kern w:val="0"/>
          <w:sz w:val="32"/>
          <w:szCs w:val="32"/>
        </w:rPr>
        <w:t>管理办法》（京财科文〔</w:t>
      </w:r>
      <w:r>
        <w:rPr>
          <w:rFonts w:ascii="仿宋_GB2312" w:hAnsi="仿宋" w:eastAsia="仿宋_GB2312" w:cs="仿宋_GB2312"/>
          <w:color w:val="auto"/>
          <w:kern w:val="0"/>
          <w:sz w:val="32"/>
          <w:szCs w:val="32"/>
        </w:rPr>
        <w:t>201</w:t>
      </w:r>
      <w:r>
        <w:rPr>
          <w:rFonts w:hint="eastAsia" w:ascii="仿宋_GB2312" w:hAnsi="仿宋" w:eastAsia="仿宋_GB2312" w:cs="仿宋_GB2312"/>
          <w:color w:val="auto"/>
          <w:kern w:val="0"/>
          <w:sz w:val="32"/>
          <w:szCs w:val="32"/>
          <w:lang w:val="en-US" w:eastAsia="zh-CN"/>
        </w:rPr>
        <w:t>6</w:t>
      </w:r>
      <w:r>
        <w:rPr>
          <w:rFonts w:hint="eastAsia" w:ascii="仿宋_GB2312" w:hAnsi="仿宋" w:eastAsia="仿宋_GB2312" w:cs="仿宋_GB2312"/>
          <w:color w:val="auto"/>
          <w:kern w:val="0"/>
          <w:sz w:val="32"/>
          <w:szCs w:val="32"/>
        </w:rPr>
        <w:t>〕</w:t>
      </w:r>
      <w:r>
        <w:rPr>
          <w:rFonts w:hint="eastAsia" w:ascii="仿宋_GB2312" w:hAnsi="仿宋" w:eastAsia="仿宋_GB2312" w:cs="仿宋_GB2312"/>
          <w:color w:val="auto"/>
          <w:kern w:val="0"/>
          <w:sz w:val="32"/>
          <w:szCs w:val="32"/>
          <w:lang w:val="en-US" w:eastAsia="zh-CN"/>
        </w:rPr>
        <w:t>2879</w:t>
      </w:r>
      <w:r>
        <w:rPr>
          <w:rFonts w:hint="eastAsia" w:ascii="仿宋_GB2312" w:hAnsi="仿宋" w:eastAsia="仿宋_GB2312" w:cs="仿宋_GB2312"/>
          <w:color w:val="auto"/>
          <w:kern w:val="0"/>
          <w:sz w:val="32"/>
          <w:szCs w:val="32"/>
        </w:rPr>
        <w:t>号）同时废止。</w:t>
      </w:r>
    </w:p>
    <w:p>
      <w:pPr>
        <w:spacing w:line="560" w:lineRule="exact"/>
        <w:ind w:firstLine="643" w:firstLineChars="200"/>
        <w:rPr>
          <w:color w:val="auto"/>
        </w:rPr>
      </w:pPr>
      <w:r>
        <w:rPr>
          <w:rFonts w:hint="eastAsia" w:ascii="仿宋_GB2312" w:hAnsi="仿宋" w:eastAsia="仿宋_GB2312" w:cs="仿宋_GB2312"/>
          <w:b/>
          <w:bCs/>
          <w:color w:val="auto"/>
          <w:kern w:val="0"/>
          <w:sz w:val="32"/>
          <w:szCs w:val="32"/>
        </w:rPr>
        <w:t>第二十</w:t>
      </w:r>
      <w:r>
        <w:rPr>
          <w:rFonts w:hint="eastAsia" w:ascii="仿宋_GB2312" w:hAnsi="仿宋" w:eastAsia="仿宋_GB2312" w:cs="仿宋_GB2312"/>
          <w:b/>
          <w:bCs/>
          <w:color w:val="auto"/>
          <w:kern w:val="0"/>
          <w:sz w:val="32"/>
          <w:szCs w:val="32"/>
          <w:lang w:eastAsia="zh-CN"/>
        </w:rPr>
        <w:t>八</w:t>
      </w:r>
      <w:r>
        <w:rPr>
          <w:rFonts w:hint="eastAsia" w:ascii="仿宋_GB2312" w:hAnsi="仿宋" w:eastAsia="仿宋_GB2312" w:cs="仿宋_GB2312"/>
          <w:b/>
          <w:bCs/>
          <w:color w:val="auto"/>
          <w:kern w:val="0"/>
          <w:sz w:val="32"/>
          <w:szCs w:val="32"/>
        </w:rPr>
        <w:t xml:space="preserve">条 </w:t>
      </w:r>
      <w:r>
        <w:rPr>
          <w:rFonts w:hint="eastAsia" w:ascii="仿宋_GB2312" w:hAnsi="仿宋" w:eastAsia="仿宋_GB2312" w:cs="仿宋_GB2312"/>
          <w:color w:val="auto"/>
          <w:kern w:val="0"/>
          <w:sz w:val="32"/>
          <w:szCs w:val="32"/>
        </w:rPr>
        <w:t>本办法由市财政局</w:t>
      </w:r>
      <w:r>
        <w:rPr>
          <w:rFonts w:hint="eastAsia" w:ascii="仿宋_GB2312" w:hAnsi="仿宋" w:eastAsia="仿宋_GB2312" w:cs="仿宋_GB2312"/>
          <w:color w:val="auto"/>
          <w:kern w:val="0"/>
          <w:sz w:val="32"/>
          <w:szCs w:val="32"/>
          <w:lang w:eastAsia="zh-CN"/>
        </w:rPr>
        <w:t>和市社科联、</w:t>
      </w:r>
      <w:r>
        <w:rPr>
          <w:rFonts w:hint="eastAsia" w:ascii="仿宋_GB2312" w:hAnsi="仿宋" w:eastAsia="仿宋_GB2312" w:cs="仿宋_GB2312"/>
          <w:color w:val="auto"/>
          <w:kern w:val="0"/>
          <w:sz w:val="32"/>
          <w:szCs w:val="32"/>
        </w:rPr>
        <w:t>市社科规划办负责解释。</w:t>
      </w:r>
    </w:p>
    <w:sectPr>
      <w:pgSz w:w="11906" w:h="16838"/>
      <w:pgMar w:top="1911" w:right="1474" w:bottom="1882" w:left="1588"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方正小标宋简体">
    <w:altName w:val="Arial Unicode MS"/>
    <w:panose1 w:val="02010601030101010101"/>
    <w:charset w:val="86"/>
    <w:family w:val="auto"/>
    <w:pitch w:val="default"/>
    <w:sig w:usb0="00000000"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Cambria Math">
    <w:panose1 w:val="02040503050406030204"/>
    <w:charset w:val="00"/>
    <w:family w:val="auto"/>
    <w:pitch w:val="default"/>
    <w:sig w:usb0="E00002FF" w:usb1="42002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67063832">
    <w:nsid w:val="5D677F18"/>
    <w:multiLevelType w:val="singleLevel"/>
    <w:tmpl w:val="5D677F18"/>
    <w:lvl w:ilvl="0" w:tentative="1">
      <w:start w:val="5"/>
      <w:numFmt w:val="chineseCounting"/>
      <w:suff w:val="space"/>
      <w:lvlText w:val="第%1章"/>
      <w:lvlJc w:val="left"/>
    </w:lvl>
  </w:abstractNum>
  <w:abstractNum w:abstractNumId="1567563464">
    <w:nsid w:val="5D6F1EC8"/>
    <w:multiLevelType w:val="singleLevel"/>
    <w:tmpl w:val="5D6F1EC8"/>
    <w:lvl w:ilvl="0" w:tentative="1">
      <w:start w:val="4"/>
      <w:numFmt w:val="chineseCounting"/>
      <w:suff w:val="space"/>
      <w:lvlText w:val="第%1章"/>
      <w:lvlJc w:val="left"/>
    </w:lvl>
  </w:abstractNum>
  <w:abstractNum w:abstractNumId="1567061930">
    <w:nsid w:val="5D6777AA"/>
    <w:multiLevelType w:val="singleLevel"/>
    <w:tmpl w:val="5D6777AA"/>
    <w:lvl w:ilvl="0" w:tentative="1">
      <w:start w:val="2"/>
      <w:numFmt w:val="chineseCounting"/>
      <w:suff w:val="space"/>
      <w:lvlText w:val="第%1章"/>
      <w:lvlJc w:val="left"/>
    </w:lvl>
  </w:abstractNum>
  <w:abstractNum w:abstractNumId="1567062191">
    <w:nsid w:val="5D6778AF"/>
    <w:multiLevelType w:val="singleLevel"/>
    <w:tmpl w:val="5D6778AF"/>
    <w:lvl w:ilvl="0" w:tentative="1">
      <w:start w:val="3"/>
      <w:numFmt w:val="chineseCounting"/>
      <w:suff w:val="space"/>
      <w:lvlText w:val="第%1章"/>
      <w:lvlJc w:val="left"/>
    </w:lvl>
  </w:abstractNum>
  <w:abstractNum w:abstractNumId="1567061330">
    <w:nsid w:val="5D677552"/>
    <w:multiLevelType w:val="singleLevel"/>
    <w:tmpl w:val="5D677552"/>
    <w:lvl w:ilvl="0" w:tentative="1">
      <w:start w:val="1"/>
      <w:numFmt w:val="chineseCounting"/>
      <w:suff w:val="space"/>
      <w:lvlText w:val="第%1章"/>
      <w:lvlJc w:val="left"/>
    </w:lvl>
  </w:abstractNum>
  <w:num w:numId="1">
    <w:abstractNumId w:val="1567061330"/>
  </w:num>
  <w:num w:numId="2">
    <w:abstractNumId w:val="1567061930"/>
  </w:num>
  <w:num w:numId="3">
    <w:abstractNumId w:val="1567062191"/>
  </w:num>
  <w:num w:numId="4">
    <w:abstractNumId w:val="1567563464"/>
  </w:num>
  <w:num w:numId="5">
    <w:abstractNumId w:val="15670638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semiHidden/>
    <w:unhideWhenUsed/>
    <w:uiPriority w:val="99"/>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5"/>
    <w:semiHidden/>
    <w:unhideWhenUsed/>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customStyle="1" w:styleId="5">
    <w:name w:val="页眉 Char Char"/>
    <w:basedOn w:val="4"/>
    <w:link w:val="3"/>
    <w:uiPriority w:val="99"/>
    <w:rPr>
      <w:sz w:val="18"/>
      <w:szCs w:val="18"/>
    </w:rPr>
  </w:style>
  <w:style w:type="character" w:customStyle="1" w:styleId="6">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785</Words>
  <Characters>4475</Characters>
  <Lines>37</Lines>
  <Paragraphs>10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2017-01-12T06:39:00Z</dcterms:created>
  <dc:creator>xsb</dc:creator>
  <cp:lastModifiedBy>xsb</cp:lastModifiedBy>
  <cp:lastPrinted>2019-08-29T07:36:00Z</cp:lastPrinted>
  <dcterms:modified xsi:type="dcterms:W3CDTF">2019-10-10T06:34:32Z</dcterms:modified>
  <dc:title>京财科文〔2016〕2879号附件</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